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F8AF" w14:textId="61A51439" w:rsidR="00F662B8" w:rsidRPr="00CA29D9" w:rsidRDefault="00A71AD7" w:rsidP="00C652E7">
      <w:pPr>
        <w:pStyle w:val="Ttulo2"/>
        <w:jc w:val="both"/>
        <w:rPr>
          <w:rFonts w:ascii="Century Gothic" w:hAnsi="Century Gothic" w:cs="Courier New"/>
          <w:color w:val="000000"/>
          <w:sz w:val="22"/>
          <w:szCs w:val="22"/>
        </w:rPr>
      </w:pPr>
      <w:r w:rsidRPr="00CA29D9">
        <w:rPr>
          <w:rFonts w:ascii="Century Gothic" w:hAnsi="Century Gothic"/>
          <w:color w:val="auto"/>
          <w:sz w:val="22"/>
          <w:szCs w:val="22"/>
        </w:rPr>
        <w:t xml:space="preserve">Con fundamento en los artículos 43 y 44 de la Ley General de Transparencia y Acceso a la Información Pública, publicada en el </w:t>
      </w:r>
      <w:r w:rsidRPr="00CA29D9">
        <w:rPr>
          <w:rFonts w:ascii="Century Gothic" w:hAnsi="Century Gothic"/>
          <w:i/>
          <w:color w:val="auto"/>
          <w:sz w:val="22"/>
          <w:szCs w:val="22"/>
        </w:rPr>
        <w:t>Diario Oficial de la Federación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 (DOF) el 4 de mayo de 2015, y en los artículos 64 y 65 de la Ley Federal de Transparencia y Acceso a la Información Pública, publicada en el DOF, última reforma el 27 de enero de 2017, en Santa María Tonantzintla, San Andrés Cholula, Puebla, siendo las 1</w:t>
      </w:r>
      <w:r w:rsidR="004217B0" w:rsidRPr="00CA29D9">
        <w:rPr>
          <w:rFonts w:ascii="Century Gothic" w:hAnsi="Century Gothic"/>
          <w:color w:val="auto"/>
          <w:sz w:val="22"/>
          <w:szCs w:val="22"/>
        </w:rPr>
        <w:t>1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:00 horas del día </w:t>
      </w:r>
      <w:r w:rsidR="00D35AE4" w:rsidRPr="00CA29D9">
        <w:rPr>
          <w:rFonts w:ascii="Century Gothic" w:hAnsi="Century Gothic"/>
          <w:color w:val="auto"/>
          <w:sz w:val="22"/>
          <w:szCs w:val="22"/>
        </w:rPr>
        <w:t>tres</w:t>
      </w:r>
      <w:r w:rsidR="0030655F" w:rsidRPr="00CA29D9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de </w:t>
      </w:r>
      <w:r w:rsidR="00D35AE4" w:rsidRPr="00CA29D9">
        <w:rPr>
          <w:rFonts w:ascii="Century Gothic" w:hAnsi="Century Gothic"/>
          <w:color w:val="auto"/>
          <w:sz w:val="22"/>
          <w:szCs w:val="22"/>
        </w:rPr>
        <w:t>diciembre</w:t>
      </w:r>
      <w:r w:rsidR="009A202C" w:rsidRPr="00CA29D9">
        <w:rPr>
          <w:rFonts w:ascii="Century Gothic" w:hAnsi="Century Gothic"/>
          <w:color w:val="auto"/>
          <w:sz w:val="22"/>
          <w:szCs w:val="22"/>
        </w:rPr>
        <w:t xml:space="preserve"> de dos mil veintiuno</w:t>
      </w:r>
      <w:r w:rsidR="00314BA9" w:rsidRPr="00CA29D9">
        <w:rPr>
          <w:rFonts w:ascii="Century Gothic" w:hAnsi="Century Gothic"/>
          <w:color w:val="auto"/>
          <w:sz w:val="22"/>
          <w:szCs w:val="22"/>
        </w:rPr>
        <w:t xml:space="preserve">, 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para celebrar la </w:t>
      </w:r>
      <w:r w:rsidR="005A640B" w:rsidRPr="00CA29D9">
        <w:rPr>
          <w:rFonts w:ascii="Century Gothic" w:hAnsi="Century Gothic"/>
          <w:b/>
          <w:color w:val="auto"/>
          <w:sz w:val="22"/>
          <w:szCs w:val="22"/>
        </w:rPr>
        <w:t>CUARTA</w:t>
      </w:r>
      <w:r w:rsidRPr="00CA29D9">
        <w:rPr>
          <w:rFonts w:ascii="Century Gothic" w:hAnsi="Century Gothic"/>
          <w:b/>
          <w:color w:val="auto"/>
          <w:sz w:val="22"/>
          <w:szCs w:val="22"/>
        </w:rPr>
        <w:t xml:space="preserve"> SESIÓN ORDINARIA DEL COMITÉ DE TRANSPARENCIA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 del </w:t>
      </w:r>
      <w:r w:rsidR="009A202C" w:rsidRPr="00CA29D9">
        <w:rPr>
          <w:rFonts w:ascii="Century Gothic" w:hAnsi="Century Gothic"/>
          <w:b/>
          <w:color w:val="auto"/>
          <w:sz w:val="22"/>
          <w:szCs w:val="22"/>
        </w:rPr>
        <w:t>ejercicio dos mil veintiuno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, ante la presencia de los C.C. Lic. Miguel Ángel Barrera Márquez, Director de Administración y Finanzas del INAOE y Titular de la Unidad de Transparencia, y su invitada la Lic. Silvia Hernández </w:t>
      </w:r>
      <w:r w:rsidR="005935DE" w:rsidRPr="00CA29D9">
        <w:rPr>
          <w:rFonts w:ascii="Century Gothic" w:hAnsi="Century Gothic"/>
          <w:color w:val="auto"/>
          <w:sz w:val="22"/>
          <w:szCs w:val="22"/>
        </w:rPr>
        <w:t>Solís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, </w:t>
      </w:r>
      <w:bookmarkStart w:id="0" w:name="_Hlk73012650"/>
      <w:r w:rsidRPr="00CA29D9">
        <w:rPr>
          <w:rFonts w:ascii="Century Gothic" w:hAnsi="Century Gothic"/>
          <w:color w:val="auto"/>
          <w:sz w:val="22"/>
          <w:szCs w:val="22"/>
        </w:rPr>
        <w:t xml:space="preserve">Enlace de </w:t>
      </w:r>
      <w:r w:rsidR="005F154A" w:rsidRPr="00CA29D9">
        <w:rPr>
          <w:rFonts w:ascii="Century Gothic" w:hAnsi="Century Gothic"/>
          <w:color w:val="auto"/>
          <w:sz w:val="22"/>
          <w:szCs w:val="22"/>
        </w:rPr>
        <w:t>Capacitación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 en el INAI y apoyo a la Unidad de Transparencia del INAOE</w:t>
      </w:r>
      <w:bookmarkEnd w:id="0"/>
      <w:r w:rsidRPr="00CA29D9">
        <w:rPr>
          <w:rFonts w:ascii="Century Gothic" w:hAnsi="Century Gothic"/>
          <w:color w:val="auto"/>
          <w:sz w:val="22"/>
          <w:szCs w:val="22"/>
        </w:rPr>
        <w:t xml:space="preserve">; </w:t>
      </w:r>
      <w:r w:rsidR="00C652E7" w:rsidRPr="00CA29D9">
        <w:rPr>
          <w:rFonts w:ascii="Century Gothic" w:hAnsi="Century Gothic"/>
          <w:color w:val="auto"/>
          <w:sz w:val="22"/>
          <w:szCs w:val="22"/>
        </w:rPr>
        <w:t xml:space="preserve">se reunieron por videoconferencia 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la </w:t>
      </w:r>
      <w:bookmarkStart w:id="1" w:name="_Hlk73019602"/>
      <w:r w:rsidRPr="00CA29D9">
        <w:rPr>
          <w:rFonts w:ascii="Century Gothic" w:hAnsi="Century Gothic"/>
          <w:color w:val="auto"/>
          <w:sz w:val="22"/>
          <w:szCs w:val="22"/>
        </w:rPr>
        <w:t>Dra. Margarita Argüelles Gómez, Titular del Órgano Interno de Control en el INAOE</w:t>
      </w:r>
      <w:bookmarkEnd w:id="1"/>
      <w:r w:rsidRPr="00CA29D9">
        <w:rPr>
          <w:rFonts w:ascii="Century Gothic" w:hAnsi="Century Gothic"/>
          <w:color w:val="auto"/>
          <w:sz w:val="22"/>
          <w:szCs w:val="22"/>
        </w:rPr>
        <w:t xml:space="preserve"> y la C.P. Delia Sánchez Sarmiento Encargada de Auditoría en el Órgano Interno de Control del INAOE</w:t>
      </w:r>
      <w:r w:rsidR="00756184">
        <w:rPr>
          <w:rFonts w:ascii="Century Gothic" w:hAnsi="Century Gothic"/>
          <w:color w:val="auto"/>
          <w:sz w:val="22"/>
          <w:szCs w:val="22"/>
        </w:rPr>
        <w:t xml:space="preserve"> en calidad de invitada,</w:t>
      </w:r>
      <w:r w:rsidRPr="00CA29D9">
        <w:rPr>
          <w:rFonts w:ascii="Century Gothic" w:hAnsi="Century Gothic"/>
          <w:color w:val="auto"/>
          <w:sz w:val="22"/>
          <w:szCs w:val="22"/>
        </w:rPr>
        <w:t xml:space="preserve"> y </w:t>
      </w:r>
      <w:bookmarkStart w:id="2" w:name="_Hlk73024620"/>
      <w:r w:rsidRPr="00CA29D9">
        <w:rPr>
          <w:rFonts w:ascii="Century Gothic" w:hAnsi="Century Gothic"/>
          <w:color w:val="auto"/>
          <w:sz w:val="22"/>
          <w:szCs w:val="22"/>
        </w:rPr>
        <w:t xml:space="preserve">el Mtro. Alejandro Serrano Núñez, </w:t>
      </w:r>
      <w:bookmarkEnd w:id="2"/>
      <w:r w:rsidR="00D35AE4" w:rsidRPr="00CA29D9">
        <w:rPr>
          <w:rFonts w:ascii="Century Gothic" w:hAnsi="Century Gothic"/>
          <w:color w:val="auto"/>
          <w:sz w:val="22"/>
          <w:szCs w:val="22"/>
        </w:rPr>
        <w:t>Encargado de la Oficina de Archivos y Oficialía de Partes.</w:t>
      </w:r>
    </w:p>
    <w:p w14:paraId="701A0293" w14:textId="77777777" w:rsidR="00A71AD7" w:rsidRPr="00CA29D9" w:rsidRDefault="00A71AD7" w:rsidP="00C652E7">
      <w:pPr>
        <w:jc w:val="both"/>
        <w:rPr>
          <w:rFonts w:ascii="Century Gothic" w:hAnsi="Century Gothic" w:cs="Arial"/>
          <w:sz w:val="22"/>
          <w:szCs w:val="22"/>
        </w:rPr>
      </w:pPr>
    </w:p>
    <w:p w14:paraId="30E1BA30" w14:textId="2E613F64" w:rsidR="00A71AD7" w:rsidRPr="00CA29D9" w:rsidRDefault="00A71AD7" w:rsidP="00C652E7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  <w:lang w:val="es-ES_tradnl"/>
        </w:rPr>
      </w:pPr>
      <w:r w:rsidRPr="00CA29D9">
        <w:rPr>
          <w:rFonts w:ascii="Century Gothic" w:hAnsi="Century Gothic" w:cs="Arial"/>
          <w:b/>
          <w:lang w:val="es-ES_tradnl"/>
        </w:rPr>
        <w:t>LISTA DE ASISTENCIA Y</w:t>
      </w:r>
      <w:r w:rsidR="00D2663F" w:rsidRPr="00CA29D9">
        <w:rPr>
          <w:rFonts w:ascii="Century Gothic" w:hAnsi="Century Gothic" w:cs="Arial"/>
          <w:b/>
          <w:lang w:val="es-ES_tradnl"/>
        </w:rPr>
        <w:t xml:space="preserve"> DECLARACIÓN DE</w:t>
      </w:r>
      <w:r w:rsidRPr="00CA29D9">
        <w:rPr>
          <w:rFonts w:ascii="Century Gothic" w:hAnsi="Century Gothic" w:cs="Arial"/>
          <w:b/>
          <w:lang w:val="es-ES_tradnl"/>
        </w:rPr>
        <w:t xml:space="preserve"> QUÓRUM LEGAL</w:t>
      </w:r>
      <w:r w:rsidR="00FB1FC5" w:rsidRPr="00CA29D9">
        <w:rPr>
          <w:rFonts w:ascii="Century Gothic" w:hAnsi="Century Gothic" w:cs="Arial"/>
          <w:b/>
          <w:lang w:val="es-ES_tradnl"/>
        </w:rPr>
        <w:t xml:space="preserve">. </w:t>
      </w:r>
      <w:r w:rsidRPr="00CA29D9">
        <w:rPr>
          <w:rFonts w:ascii="Century Gothic" w:hAnsi="Century Gothic" w:cs="Arial"/>
          <w:b/>
          <w:lang w:val="es-ES_tradnl"/>
        </w:rPr>
        <w:t>--------------------------------</w:t>
      </w:r>
      <w:r w:rsidR="00833D72" w:rsidRPr="00CA29D9">
        <w:rPr>
          <w:rFonts w:ascii="Century Gothic" w:hAnsi="Century Gothic" w:cs="Arial"/>
          <w:b/>
          <w:lang w:val="es-ES_tradnl"/>
        </w:rPr>
        <w:t>-</w:t>
      </w:r>
    </w:p>
    <w:p w14:paraId="5EB095C8" w14:textId="1841981C" w:rsidR="00A71AD7" w:rsidRPr="00CA29D9" w:rsidRDefault="00A71AD7" w:rsidP="00C652E7">
      <w:pPr>
        <w:pStyle w:val="Prrafodelista"/>
        <w:jc w:val="both"/>
        <w:rPr>
          <w:rFonts w:ascii="Century Gothic" w:hAnsi="Century Gothic" w:cs="Arial"/>
          <w:lang w:val="es-ES_tradnl"/>
        </w:rPr>
      </w:pPr>
      <w:r w:rsidRPr="00CA29D9">
        <w:rPr>
          <w:rFonts w:ascii="Century Gothic" w:hAnsi="Century Gothic" w:cs="Arial"/>
          <w:lang w:val="es-ES_tradnl"/>
        </w:rPr>
        <w:t xml:space="preserve">El Lic. Miguel Ángel Barrera Márquez, Director de Administración y Finanzas del INAOE y Titular de la Unidad de Transparencia, quien funge como </w:t>
      </w:r>
      <w:r w:rsidR="00587A60" w:rsidRPr="00CA29D9">
        <w:rPr>
          <w:rFonts w:ascii="Century Gothic" w:hAnsi="Century Gothic" w:cs="Arial"/>
          <w:lang w:val="es-ES_tradnl"/>
        </w:rPr>
        <w:t>presidente</w:t>
      </w:r>
      <w:r w:rsidRPr="00CA29D9">
        <w:rPr>
          <w:rFonts w:ascii="Century Gothic" w:hAnsi="Century Gothic" w:cs="Arial"/>
          <w:lang w:val="es-ES_tradnl"/>
        </w:rPr>
        <w:t xml:space="preserve"> de este Comité, dio la bienvenida a los miembros e invitados a dicho Comité. Por otro lado, refirió l</w:t>
      </w:r>
      <w:r w:rsidR="00314BA9" w:rsidRPr="00CA29D9">
        <w:rPr>
          <w:rFonts w:ascii="Century Gothic" w:hAnsi="Century Gothic" w:cs="Arial"/>
          <w:lang w:val="es-ES_tradnl"/>
        </w:rPr>
        <w:t>a existencia del Quórum L</w:t>
      </w:r>
      <w:r w:rsidRPr="00CA29D9">
        <w:rPr>
          <w:rFonts w:ascii="Century Gothic" w:hAnsi="Century Gothic" w:cs="Arial"/>
          <w:lang w:val="es-ES_tradnl"/>
        </w:rPr>
        <w:t>egal para llevar a cabo la sesión. -------------------------</w:t>
      </w:r>
      <w:r w:rsidR="002934DC" w:rsidRPr="00CA29D9">
        <w:rPr>
          <w:rFonts w:ascii="Century Gothic" w:hAnsi="Century Gothic" w:cs="Arial"/>
          <w:lang w:val="es-ES_tradnl"/>
        </w:rPr>
        <w:t>----------------</w:t>
      </w:r>
      <w:r w:rsidR="00833D72" w:rsidRPr="00CA29D9">
        <w:rPr>
          <w:rFonts w:ascii="Century Gothic" w:hAnsi="Century Gothic" w:cs="Arial"/>
          <w:lang w:val="es-ES_tradnl"/>
        </w:rPr>
        <w:t>-</w:t>
      </w:r>
    </w:p>
    <w:p w14:paraId="376F0B66" w14:textId="77777777" w:rsidR="00A71AD7" w:rsidRPr="00CA29D9" w:rsidRDefault="00A71AD7" w:rsidP="00C652E7">
      <w:pPr>
        <w:pStyle w:val="Prrafodelista"/>
        <w:jc w:val="both"/>
        <w:rPr>
          <w:rFonts w:ascii="Century Gothic" w:hAnsi="Century Gothic" w:cs="Arial"/>
          <w:lang w:val="es-ES_tradnl"/>
        </w:rPr>
      </w:pPr>
    </w:p>
    <w:p w14:paraId="3A15178E" w14:textId="27752E49" w:rsidR="00A71AD7" w:rsidRPr="00CA29D9" w:rsidRDefault="00A71AD7" w:rsidP="00C652E7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  <w:lang w:val="es-ES_tradnl"/>
        </w:rPr>
      </w:pPr>
      <w:r w:rsidRPr="00CA29D9">
        <w:rPr>
          <w:rFonts w:ascii="Century Gothic" w:hAnsi="Century Gothic" w:cs="Arial"/>
          <w:b/>
          <w:lang w:val="es-ES_tradnl"/>
        </w:rPr>
        <w:t>LECTURA Y APROBACIÓN, EN SU CASO, DEL ORDEN DEL DÍA</w:t>
      </w:r>
      <w:r w:rsidR="00FB1FC5" w:rsidRPr="00CA29D9">
        <w:rPr>
          <w:rFonts w:ascii="Century Gothic" w:hAnsi="Century Gothic" w:cs="Arial"/>
          <w:b/>
          <w:lang w:val="es-ES_tradnl"/>
        </w:rPr>
        <w:t xml:space="preserve">. </w:t>
      </w:r>
      <w:r w:rsidRPr="00CA29D9">
        <w:rPr>
          <w:rFonts w:ascii="Century Gothic" w:hAnsi="Century Gothic" w:cs="Arial"/>
          <w:b/>
          <w:lang w:val="es-ES_tradnl"/>
        </w:rPr>
        <w:t>--</w:t>
      </w:r>
      <w:r w:rsidR="00833D72" w:rsidRPr="00CA29D9">
        <w:rPr>
          <w:rFonts w:ascii="Century Gothic" w:hAnsi="Century Gothic" w:cs="Arial"/>
          <w:b/>
          <w:lang w:val="es-ES_tradnl"/>
        </w:rPr>
        <w:t>-----------------------------</w:t>
      </w:r>
    </w:p>
    <w:p w14:paraId="5B5825C3" w14:textId="68A30B0C" w:rsidR="00A71AD7" w:rsidRPr="00CA29D9" w:rsidRDefault="00A71AD7" w:rsidP="00C652E7">
      <w:pPr>
        <w:pStyle w:val="Prrafodelista"/>
        <w:jc w:val="both"/>
        <w:rPr>
          <w:rFonts w:ascii="Century Gothic" w:hAnsi="Century Gothic" w:cs="Arial"/>
          <w:lang w:val="es-ES_tradnl"/>
        </w:rPr>
      </w:pPr>
      <w:r w:rsidRPr="00CA29D9">
        <w:rPr>
          <w:rFonts w:ascii="Century Gothic" w:hAnsi="Century Gothic" w:cs="Arial"/>
          <w:lang w:val="es-ES_tradnl"/>
        </w:rPr>
        <w:t xml:space="preserve">El </w:t>
      </w:r>
      <w:r w:rsidR="00587A60" w:rsidRPr="00CA29D9">
        <w:rPr>
          <w:rFonts w:ascii="Century Gothic" w:hAnsi="Century Gothic" w:cs="Arial"/>
          <w:lang w:val="es-ES_tradnl"/>
        </w:rPr>
        <w:t>presidente</w:t>
      </w:r>
      <w:r w:rsidR="005A640B" w:rsidRPr="00CA29D9">
        <w:rPr>
          <w:rFonts w:ascii="Century Gothic" w:hAnsi="Century Gothic" w:cs="Arial"/>
          <w:lang w:val="es-ES_tradnl"/>
        </w:rPr>
        <w:t xml:space="preserve"> del Comité </w:t>
      </w:r>
      <w:r w:rsidRPr="00CA29D9">
        <w:rPr>
          <w:rFonts w:ascii="Century Gothic" w:hAnsi="Century Gothic" w:cs="Arial"/>
          <w:lang w:val="es-ES_tradnl"/>
        </w:rPr>
        <w:t>ced</w:t>
      </w:r>
      <w:r w:rsidR="00C02BD0" w:rsidRPr="00CA29D9">
        <w:rPr>
          <w:rFonts w:ascii="Century Gothic" w:hAnsi="Century Gothic" w:cs="Arial"/>
          <w:lang w:val="es-ES_tradnl"/>
        </w:rPr>
        <w:t>ió</w:t>
      </w:r>
      <w:r w:rsidR="005A640B" w:rsidRPr="00CA29D9">
        <w:rPr>
          <w:rFonts w:ascii="Century Gothic" w:hAnsi="Century Gothic" w:cs="Arial"/>
          <w:lang w:val="es-ES_tradnl"/>
        </w:rPr>
        <w:t xml:space="preserve"> la palabra a la Lic. Silvia Hernández Solis,</w:t>
      </w:r>
      <w:r w:rsidRPr="00CA29D9">
        <w:rPr>
          <w:rFonts w:ascii="Century Gothic" w:hAnsi="Century Gothic" w:cs="Arial"/>
          <w:lang w:val="es-ES_tradnl"/>
        </w:rPr>
        <w:t xml:space="preserve"> </w:t>
      </w:r>
      <w:r w:rsidR="005A640B" w:rsidRPr="00CA29D9">
        <w:rPr>
          <w:rFonts w:ascii="Century Gothic" w:hAnsi="Century Gothic"/>
        </w:rPr>
        <w:t>Enlace de Capacitación en el INAI y apoyo a la Unidad de Transparencia del INAOE</w:t>
      </w:r>
      <w:r w:rsidR="00E83A1D">
        <w:rPr>
          <w:rFonts w:ascii="Century Gothic" w:hAnsi="Century Gothic"/>
        </w:rPr>
        <w:t>,</w:t>
      </w:r>
      <w:r w:rsidR="005A640B" w:rsidRPr="00CA29D9">
        <w:rPr>
          <w:rFonts w:ascii="Century Gothic" w:hAnsi="Century Gothic" w:cs="Arial"/>
          <w:lang w:val="es-ES_tradnl"/>
        </w:rPr>
        <w:t xml:space="preserve"> quien dio</w:t>
      </w:r>
      <w:r w:rsidRPr="00CA29D9">
        <w:rPr>
          <w:rFonts w:ascii="Century Gothic" w:hAnsi="Century Gothic" w:cs="Arial"/>
          <w:lang w:val="es-ES_tradnl"/>
        </w:rPr>
        <w:t xml:space="preserve"> lectura al Orden del Día haciéndolo del conocimiento de los presentes</w:t>
      </w:r>
      <w:r w:rsidR="00833D72" w:rsidRPr="00CA29D9">
        <w:rPr>
          <w:rFonts w:ascii="Century Gothic" w:hAnsi="Century Gothic" w:cs="Arial"/>
          <w:lang w:val="es-ES_tradnl"/>
        </w:rPr>
        <w:t>.</w:t>
      </w:r>
      <w:r w:rsidR="00466158" w:rsidRPr="00CA29D9">
        <w:rPr>
          <w:rFonts w:ascii="Century Gothic" w:hAnsi="Century Gothic" w:cs="Arial"/>
          <w:lang w:val="es-ES_tradnl"/>
        </w:rPr>
        <w:t xml:space="preserve"> </w:t>
      </w:r>
      <w:r w:rsidR="00833D72" w:rsidRPr="00CA29D9">
        <w:rPr>
          <w:rFonts w:ascii="Century Gothic" w:hAnsi="Century Gothic" w:cs="Arial"/>
          <w:lang w:val="es-ES_tradnl"/>
        </w:rPr>
        <w:t>------</w:t>
      </w:r>
      <w:r w:rsidR="00E83A1D">
        <w:rPr>
          <w:rFonts w:ascii="Century Gothic" w:hAnsi="Century Gothic" w:cs="Arial"/>
          <w:lang w:val="es-ES_tradnl"/>
        </w:rPr>
        <w:t>-</w:t>
      </w:r>
      <w:r w:rsidR="00833D72" w:rsidRPr="00CA29D9">
        <w:rPr>
          <w:rFonts w:ascii="Century Gothic" w:hAnsi="Century Gothic" w:cs="Arial"/>
          <w:lang w:val="es-ES_tradnl"/>
        </w:rPr>
        <w:t>--------------</w:t>
      </w:r>
    </w:p>
    <w:p w14:paraId="7289E220" w14:textId="77777777" w:rsidR="00FB1FC5" w:rsidRPr="00CA29D9" w:rsidRDefault="00FB1FC5" w:rsidP="00C652E7">
      <w:pPr>
        <w:pStyle w:val="Prrafodelista"/>
        <w:jc w:val="both"/>
        <w:rPr>
          <w:rFonts w:ascii="Century Gothic" w:hAnsi="Century Gothic" w:cs="Arial"/>
          <w:lang w:val="es-ES_tradnl"/>
        </w:rPr>
      </w:pPr>
    </w:p>
    <w:p w14:paraId="5FAD9117" w14:textId="459635F0" w:rsidR="00A71AD7" w:rsidRPr="00CA29D9" w:rsidRDefault="00A71AD7" w:rsidP="00C652E7">
      <w:pPr>
        <w:pStyle w:val="Prrafodelista"/>
        <w:numPr>
          <w:ilvl w:val="0"/>
          <w:numId w:val="1"/>
        </w:numPr>
        <w:ind w:left="1440"/>
        <w:jc w:val="both"/>
        <w:rPr>
          <w:rFonts w:ascii="Century Gothic" w:eastAsia="Times New Roman" w:hAnsi="Century Gothic" w:cs="Arial"/>
          <w:lang w:val="es-ES_tradnl" w:eastAsia="es-ES"/>
        </w:rPr>
      </w:pPr>
      <w:r w:rsidRPr="00CA29D9">
        <w:rPr>
          <w:rFonts w:ascii="Century Gothic" w:eastAsia="Times New Roman" w:hAnsi="Century Gothic" w:cs="Arial"/>
          <w:lang w:val="es-ES_tradnl" w:eastAsia="es-ES"/>
        </w:rPr>
        <w:t xml:space="preserve">Lista </w:t>
      </w:r>
      <w:r w:rsidR="00314BA9" w:rsidRPr="00CA29D9">
        <w:rPr>
          <w:rFonts w:ascii="Century Gothic" w:eastAsia="Times New Roman" w:hAnsi="Century Gothic" w:cs="Arial"/>
          <w:lang w:val="es-ES_tradnl" w:eastAsia="es-ES"/>
        </w:rPr>
        <w:t>de asistencia y declaración de Q</w:t>
      </w:r>
      <w:r w:rsidRPr="00CA29D9">
        <w:rPr>
          <w:rFonts w:ascii="Century Gothic" w:eastAsia="Times New Roman" w:hAnsi="Century Gothic" w:cs="Arial"/>
          <w:lang w:val="es-ES_tradnl" w:eastAsia="es-ES"/>
        </w:rPr>
        <w:t xml:space="preserve">uórum </w:t>
      </w:r>
      <w:r w:rsidR="00314BA9" w:rsidRPr="00CA29D9">
        <w:rPr>
          <w:rFonts w:ascii="Century Gothic" w:eastAsia="Times New Roman" w:hAnsi="Century Gothic" w:cs="Arial"/>
          <w:lang w:val="es-ES_tradnl" w:eastAsia="es-ES"/>
        </w:rPr>
        <w:t>L</w:t>
      </w:r>
      <w:r w:rsidR="005935DE" w:rsidRPr="00CA29D9">
        <w:rPr>
          <w:rFonts w:ascii="Century Gothic" w:eastAsia="Times New Roman" w:hAnsi="Century Gothic" w:cs="Arial"/>
          <w:lang w:val="es-ES_tradnl" w:eastAsia="es-ES"/>
        </w:rPr>
        <w:t>egal. -----------------------------------------</w:t>
      </w:r>
    </w:p>
    <w:p w14:paraId="20A404BC" w14:textId="4F661164" w:rsidR="00A71AD7" w:rsidRPr="00CA29D9" w:rsidRDefault="00A71AD7" w:rsidP="00C652E7">
      <w:pPr>
        <w:pStyle w:val="Prrafodelista"/>
        <w:numPr>
          <w:ilvl w:val="0"/>
          <w:numId w:val="1"/>
        </w:numPr>
        <w:ind w:left="1440"/>
        <w:jc w:val="both"/>
        <w:rPr>
          <w:rFonts w:ascii="Century Gothic" w:eastAsia="Times New Roman" w:hAnsi="Century Gothic" w:cs="Arial"/>
          <w:lang w:val="es-ES_tradnl" w:eastAsia="es-ES"/>
        </w:rPr>
      </w:pPr>
      <w:r w:rsidRPr="00CA29D9">
        <w:rPr>
          <w:rFonts w:ascii="Century Gothic" w:eastAsia="Times New Roman" w:hAnsi="Century Gothic" w:cs="Arial"/>
          <w:lang w:val="es-ES_tradnl" w:eastAsia="es-ES"/>
        </w:rPr>
        <w:t xml:space="preserve">Lectura y, en su caso, aprobación del orden del </w:t>
      </w:r>
      <w:r w:rsidR="005935DE" w:rsidRPr="00CA29D9">
        <w:rPr>
          <w:rFonts w:ascii="Century Gothic" w:eastAsia="Times New Roman" w:hAnsi="Century Gothic" w:cs="Arial"/>
          <w:lang w:val="es-ES_tradnl" w:eastAsia="es-ES"/>
        </w:rPr>
        <w:t>día. ---------------------------------------</w:t>
      </w:r>
    </w:p>
    <w:p w14:paraId="07A16BD5" w14:textId="1BFC3599" w:rsidR="005A640B" w:rsidRPr="00CA29D9" w:rsidRDefault="005A640B" w:rsidP="005A640B">
      <w:pPr>
        <w:pStyle w:val="Prrafodelista"/>
        <w:numPr>
          <w:ilvl w:val="0"/>
          <w:numId w:val="1"/>
        </w:numPr>
        <w:ind w:left="1440"/>
        <w:jc w:val="both"/>
        <w:rPr>
          <w:rFonts w:ascii="Century Gothic" w:eastAsia="Times New Roman" w:hAnsi="Century Gothic" w:cs="Arial"/>
          <w:lang w:val="es-ES_tradnl" w:eastAsia="es-ES"/>
        </w:rPr>
      </w:pPr>
      <w:r w:rsidRPr="00CA29D9">
        <w:rPr>
          <w:rFonts w:ascii="Century Gothic" w:eastAsia="Times New Roman" w:hAnsi="Century Gothic" w:cs="Arial"/>
          <w:lang w:val="es-ES_tradnl" w:eastAsia="es-ES"/>
        </w:rPr>
        <w:t xml:space="preserve">Certificación de Inexistencia de información, requerida en el recurso de revisión expediente -RRA_11749/21 del INAI de la solicitud de información </w:t>
      </w:r>
      <w:r w:rsidR="000F75EF" w:rsidRPr="00CA29D9">
        <w:rPr>
          <w:rFonts w:ascii="Century Gothic" w:eastAsia="Times New Roman" w:hAnsi="Century Gothic" w:cs="Arial"/>
          <w:lang w:val="es-ES_tradnl" w:eastAsia="es-ES"/>
        </w:rPr>
        <w:t>1129000003121.</w:t>
      </w:r>
      <w:r w:rsidR="000F75EF">
        <w:rPr>
          <w:rFonts w:ascii="Century Gothic" w:eastAsia="Times New Roman" w:hAnsi="Century Gothic" w:cs="Arial"/>
          <w:lang w:val="es-ES_tradnl" w:eastAsia="es-ES"/>
        </w:rPr>
        <w:t xml:space="preserve"> ---------------------------------------------------------------------------------------------</w:t>
      </w:r>
    </w:p>
    <w:p w14:paraId="486FC17D" w14:textId="72E993C0" w:rsidR="005A640B" w:rsidRPr="00CA29D9" w:rsidRDefault="005A640B" w:rsidP="005A640B">
      <w:pPr>
        <w:pStyle w:val="Prrafodelista"/>
        <w:numPr>
          <w:ilvl w:val="0"/>
          <w:numId w:val="1"/>
        </w:numPr>
        <w:ind w:left="1440"/>
        <w:jc w:val="both"/>
        <w:rPr>
          <w:rFonts w:ascii="Century Gothic" w:eastAsia="Times New Roman" w:hAnsi="Century Gothic" w:cs="Arial"/>
          <w:lang w:val="es-ES_tradnl" w:eastAsia="es-ES"/>
        </w:rPr>
      </w:pPr>
      <w:r w:rsidRPr="00CA29D9">
        <w:rPr>
          <w:rFonts w:ascii="Century Gothic" w:eastAsia="Times New Roman" w:hAnsi="Century Gothic" w:cs="Arial"/>
          <w:lang w:val="es-ES_tradnl" w:eastAsia="es-ES"/>
        </w:rPr>
        <w:lastRenderedPageBreak/>
        <w:t>Revisión del Recurso de Revisión RRA_</w:t>
      </w:r>
      <w:r w:rsidRPr="00CA29D9">
        <w:rPr>
          <w:rFonts w:ascii="Century Gothic" w:hAnsi="Century Gothic"/>
          <w:color w:val="222222"/>
          <w:shd w:val="clear" w:color="auto" w:fill="FFFFFF"/>
        </w:rPr>
        <w:t>13167/21</w:t>
      </w:r>
      <w:r w:rsidRPr="00CA29D9">
        <w:rPr>
          <w:rFonts w:ascii="Century Gothic" w:eastAsia="Times New Roman" w:hAnsi="Century Gothic" w:cs="Arial"/>
          <w:lang w:val="es-ES_tradnl" w:eastAsia="es-ES"/>
        </w:rPr>
        <w:t xml:space="preserve"> de la solicitud de información 330018421000010 y del </w:t>
      </w:r>
      <w:hyperlink r:id="rId8" w:history="1">
        <w:r w:rsidRPr="00CA29D9">
          <w:rPr>
            <w:rStyle w:val="Hipervnculo"/>
            <w:rFonts w:ascii="Century Gothic" w:hAnsi="Century Gothic"/>
            <w:color w:val="222222"/>
            <w:bdr w:val="none" w:sz="0" w:space="0" w:color="auto" w:frame="1"/>
            <w:shd w:val="clear" w:color="auto" w:fill="FFFFFF"/>
          </w:rPr>
          <w:t>RRA_13160/21</w:t>
        </w:r>
      </w:hyperlink>
      <w:r w:rsidRPr="00CA29D9">
        <w:rPr>
          <w:rFonts w:ascii="Century Gothic" w:hAnsi="Century Gothic"/>
        </w:rPr>
        <w:t xml:space="preserve"> de la solicitud de información </w:t>
      </w:r>
      <w:hyperlink r:id="rId9" w:history="1">
        <w:r w:rsidRPr="00CA29D9">
          <w:rPr>
            <w:rStyle w:val="Hipervnculo"/>
            <w:rFonts w:ascii="Century Gothic" w:hAnsi="Century Gothic"/>
            <w:color w:val="222222"/>
            <w:bdr w:val="none" w:sz="0" w:space="0" w:color="auto" w:frame="1"/>
            <w:shd w:val="clear" w:color="auto" w:fill="FFFFFF"/>
          </w:rPr>
          <w:t>331030621000006</w:t>
        </w:r>
      </w:hyperlink>
      <w:r w:rsidRPr="00CA29D9">
        <w:rPr>
          <w:rFonts w:ascii="Century Gothic" w:hAnsi="Century Gothic"/>
        </w:rPr>
        <w:t xml:space="preserve"> para dar respuesta a los mismos.</w:t>
      </w:r>
      <w:r w:rsidR="005D5B95">
        <w:rPr>
          <w:rFonts w:ascii="Century Gothic" w:hAnsi="Century Gothic"/>
        </w:rPr>
        <w:t>-------------------------------------------</w:t>
      </w:r>
    </w:p>
    <w:p w14:paraId="65F1D6E4" w14:textId="35A0E26F" w:rsidR="005A640B" w:rsidRPr="00CA29D9" w:rsidRDefault="005A640B" w:rsidP="005A640B">
      <w:pPr>
        <w:pStyle w:val="Prrafodelista"/>
        <w:numPr>
          <w:ilvl w:val="0"/>
          <w:numId w:val="1"/>
        </w:numPr>
        <w:ind w:left="1440"/>
        <w:jc w:val="both"/>
        <w:rPr>
          <w:rFonts w:ascii="Century Gothic" w:eastAsia="Times New Roman" w:hAnsi="Century Gothic" w:cs="Arial"/>
          <w:lang w:val="es-ES_tradnl" w:eastAsia="es-ES"/>
        </w:rPr>
      </w:pPr>
      <w:r w:rsidRPr="00CA29D9">
        <w:rPr>
          <w:rFonts w:ascii="Century Gothic" w:eastAsia="Times New Roman" w:hAnsi="Century Gothic" w:cs="Arial"/>
          <w:lang w:val="es-ES_tradnl" w:eastAsia="es-ES"/>
        </w:rPr>
        <w:t xml:space="preserve">Asuntos </w:t>
      </w:r>
      <w:r w:rsidR="000F75EF" w:rsidRPr="00CA29D9">
        <w:rPr>
          <w:rFonts w:ascii="Century Gothic" w:eastAsia="Times New Roman" w:hAnsi="Century Gothic" w:cs="Arial"/>
          <w:lang w:val="es-ES_tradnl" w:eastAsia="es-ES"/>
        </w:rPr>
        <w:t>generales.</w:t>
      </w:r>
      <w:r w:rsidR="000F75EF">
        <w:rPr>
          <w:rFonts w:ascii="Century Gothic" w:eastAsia="Times New Roman" w:hAnsi="Century Gothic" w:cs="Arial"/>
          <w:lang w:val="es-ES_tradnl" w:eastAsia="es-ES"/>
        </w:rPr>
        <w:t xml:space="preserve"> ----------------------------------------------------------------------------------------</w:t>
      </w:r>
    </w:p>
    <w:p w14:paraId="2B776D58" w14:textId="76B3FEFE" w:rsidR="00A71AD7" w:rsidRPr="00CA29D9" w:rsidRDefault="00A71AD7" w:rsidP="00C652E7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 xml:space="preserve">Verificando el </w:t>
      </w:r>
      <w:r w:rsidR="003D7943" w:rsidRPr="00CA29D9">
        <w:rPr>
          <w:rFonts w:ascii="Century Gothic" w:eastAsia="Times New Roman" w:hAnsi="Century Gothic" w:cs="Arial"/>
          <w:sz w:val="22"/>
          <w:szCs w:val="22"/>
        </w:rPr>
        <w:t xml:space="preserve">1) </w:t>
      </w:r>
      <w:r w:rsidR="00314BA9" w:rsidRPr="00CA29D9">
        <w:rPr>
          <w:rFonts w:ascii="Century Gothic" w:eastAsia="Times New Roman" w:hAnsi="Century Gothic" w:cs="Arial"/>
          <w:sz w:val="22"/>
          <w:szCs w:val="22"/>
        </w:rPr>
        <w:t>Quórum L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egal y </w:t>
      </w:r>
      <w:r w:rsidR="003D7943" w:rsidRPr="00CA29D9">
        <w:rPr>
          <w:rFonts w:ascii="Century Gothic" w:eastAsia="Times New Roman" w:hAnsi="Century Gothic" w:cs="Arial"/>
          <w:sz w:val="22"/>
          <w:szCs w:val="22"/>
        </w:rPr>
        <w:t xml:space="preserve">2) </w:t>
      </w:r>
      <w:r w:rsidRPr="00CA29D9">
        <w:rPr>
          <w:rFonts w:ascii="Century Gothic" w:eastAsia="Times New Roman" w:hAnsi="Century Gothic" w:cs="Arial"/>
          <w:sz w:val="22"/>
          <w:szCs w:val="22"/>
        </w:rPr>
        <w:t>aprobado el orden del día, se procedió con el punto siguiente.</w:t>
      </w:r>
      <w:r w:rsidR="00FB1FC5" w:rsidRPr="00CA29D9">
        <w:rPr>
          <w:rFonts w:ascii="Century Gothic" w:eastAsia="Times New Roman" w:hAnsi="Century Gothic" w:cs="Arial"/>
          <w:sz w:val="22"/>
          <w:szCs w:val="22"/>
        </w:rPr>
        <w:t xml:space="preserve"> -----</w:t>
      </w:r>
      <w:r w:rsidR="004C3BD6" w:rsidRPr="00CA29D9">
        <w:rPr>
          <w:rFonts w:ascii="Century Gothic" w:eastAsia="Times New Roman" w:hAnsi="Century Gothic" w:cs="Arial"/>
          <w:sz w:val="22"/>
          <w:szCs w:val="22"/>
        </w:rPr>
        <w:t>---------------------------------------------------------------------------------------------------------------------</w:t>
      </w:r>
    </w:p>
    <w:p w14:paraId="1FAA9FE3" w14:textId="77777777" w:rsidR="00A71AD7" w:rsidRPr="00CA29D9" w:rsidRDefault="00A71AD7" w:rsidP="00C652E7">
      <w:pPr>
        <w:ind w:firstLine="360"/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5B06302C" w14:textId="6607DE1C" w:rsidR="005A640B" w:rsidRPr="005D5B95" w:rsidRDefault="005D5B95" w:rsidP="005D5B95">
      <w:pPr>
        <w:pStyle w:val="Prrafodelista"/>
        <w:numPr>
          <w:ilvl w:val="0"/>
          <w:numId w:val="2"/>
        </w:numPr>
        <w:jc w:val="both"/>
        <w:rPr>
          <w:rFonts w:ascii="Century Gothic" w:eastAsia="Times New Roman" w:hAnsi="Century Gothic" w:cs="Arial"/>
          <w:b/>
          <w:lang w:val="es-ES_tradnl" w:eastAsia="es-ES"/>
        </w:rPr>
      </w:pPr>
      <w:r w:rsidRPr="005D5B95">
        <w:rPr>
          <w:rFonts w:ascii="Century Gothic" w:eastAsia="Times New Roman" w:hAnsi="Century Gothic" w:cs="Arial"/>
          <w:b/>
          <w:lang w:val="es-ES_tradnl" w:eastAsia="es-ES"/>
        </w:rPr>
        <w:t xml:space="preserve">CERTIFICACIÓN DE INEXISTENCIA DE INFORMACIÓN, REQUERIDA EN EL RECURSO DE REVISIÓN EXPEDIENTE -RRA_11749/21 DEL INAI DE LA SOLICITUD DE INFORMACIÓN </w:t>
      </w:r>
      <w:r w:rsidR="000F75EF" w:rsidRPr="005D5B95">
        <w:rPr>
          <w:rFonts w:ascii="Century Gothic" w:eastAsia="Times New Roman" w:hAnsi="Century Gothic" w:cs="Arial"/>
          <w:b/>
          <w:lang w:val="es-ES_tradnl" w:eastAsia="es-ES"/>
        </w:rPr>
        <w:t>1129000003121. -------</w:t>
      </w:r>
      <w:r w:rsidR="000F75EF">
        <w:rPr>
          <w:rFonts w:ascii="Century Gothic" w:eastAsia="Times New Roman" w:hAnsi="Century Gothic" w:cs="Arial"/>
          <w:b/>
          <w:lang w:val="es-ES_tradnl" w:eastAsia="es-ES"/>
        </w:rPr>
        <w:t>--------------------------------------------------------------------------</w:t>
      </w:r>
    </w:p>
    <w:p w14:paraId="04794A78" w14:textId="5C57B01C" w:rsidR="00677648" w:rsidRPr="00CA29D9" w:rsidRDefault="009416AF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bCs/>
          <w:sz w:val="22"/>
          <w:szCs w:val="22"/>
        </w:rPr>
        <w:t>El Titular del Comité informó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que el 27 de septiembre</w:t>
      </w:r>
      <w:r w:rsidRPr="00CA29D9">
        <w:rPr>
          <w:rFonts w:ascii="Century Gothic" w:eastAsia="Times New Roman" w:hAnsi="Century Gothic" w:cs="Arial"/>
          <w:bCs/>
          <w:sz w:val="22"/>
          <w:szCs w:val="22"/>
        </w:rPr>
        <w:t xml:space="preserve"> se recibió la solicitud de información </w:t>
      </w:r>
      <w:r w:rsidRPr="00CA29D9">
        <w:rPr>
          <w:rFonts w:ascii="Century Gothic" w:eastAsia="Times New Roman" w:hAnsi="Century Gothic" w:cs="Arial"/>
          <w:sz w:val="22"/>
          <w:szCs w:val="22"/>
        </w:rPr>
        <w:t>1129000003121</w:t>
      </w:r>
      <w:r w:rsidR="00677648" w:rsidRPr="00CA29D9">
        <w:rPr>
          <w:rFonts w:ascii="Century Gothic" w:eastAsia="Times New Roman" w:hAnsi="Century Gothic" w:cs="Arial"/>
          <w:sz w:val="22"/>
          <w:szCs w:val="22"/>
        </w:rPr>
        <w:t xml:space="preserve"> </w:t>
      </w:r>
      <w:r w:rsidR="00756184">
        <w:rPr>
          <w:rFonts w:ascii="Century Gothic" w:eastAsia="Times New Roman" w:hAnsi="Century Gothic" w:cs="Arial"/>
          <w:sz w:val="22"/>
          <w:szCs w:val="22"/>
        </w:rPr>
        <w:t>con</w:t>
      </w:r>
      <w:r w:rsidR="00677648" w:rsidRPr="00CA29D9">
        <w:rPr>
          <w:rFonts w:ascii="Century Gothic" w:eastAsia="Times New Roman" w:hAnsi="Century Gothic" w:cs="Arial"/>
          <w:sz w:val="22"/>
          <w:szCs w:val="22"/>
        </w:rPr>
        <w:t xml:space="preserve"> l</w:t>
      </w:r>
      <w:r w:rsidR="00756184">
        <w:rPr>
          <w:rFonts w:ascii="Century Gothic" w:eastAsia="Times New Roman" w:hAnsi="Century Gothic" w:cs="Arial"/>
          <w:sz w:val="22"/>
          <w:szCs w:val="22"/>
        </w:rPr>
        <w:t>a</w:t>
      </w:r>
      <w:r w:rsidR="00677648" w:rsidRPr="00CA29D9">
        <w:rPr>
          <w:rFonts w:ascii="Century Gothic" w:eastAsia="Times New Roman" w:hAnsi="Century Gothic" w:cs="Arial"/>
          <w:sz w:val="22"/>
          <w:szCs w:val="22"/>
        </w:rPr>
        <w:t xml:space="preserve"> siguiente</w:t>
      </w:r>
      <w:r w:rsidR="00756184">
        <w:rPr>
          <w:rFonts w:ascii="Century Gothic" w:eastAsia="Times New Roman" w:hAnsi="Century Gothic" w:cs="Arial"/>
          <w:sz w:val="22"/>
          <w:szCs w:val="22"/>
        </w:rPr>
        <w:t xml:space="preserve"> petición</w:t>
      </w:r>
      <w:r w:rsidR="005D5B95">
        <w:rPr>
          <w:rFonts w:ascii="Century Gothic" w:eastAsia="Times New Roman" w:hAnsi="Century Gothic" w:cs="Arial"/>
          <w:sz w:val="22"/>
          <w:szCs w:val="22"/>
        </w:rPr>
        <w:t>------------------------------------------------------------------------------</w:t>
      </w:r>
    </w:p>
    <w:p w14:paraId="11C37F44" w14:textId="78BFDC3E" w:rsidR="00677648" w:rsidRPr="00CA29D9" w:rsidRDefault="00677648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1E9170E4" w14:textId="1B476D6F" w:rsidR="00677648" w:rsidRPr="00756184" w:rsidRDefault="00677648" w:rsidP="00756184">
      <w:pPr>
        <w:ind w:left="708"/>
        <w:jc w:val="both"/>
        <w:rPr>
          <w:rFonts w:ascii="Century Gothic" w:eastAsia="Times New Roman" w:hAnsi="Century Gothic" w:cs="Arial"/>
          <w:sz w:val="20"/>
          <w:szCs w:val="20"/>
        </w:rPr>
      </w:pPr>
      <w:r w:rsidRPr="00756184">
        <w:rPr>
          <w:rFonts w:ascii="Century Gothic" w:eastAsia="Times New Roman" w:hAnsi="Century Gothic" w:cs="Arial"/>
          <w:sz w:val="20"/>
          <w:szCs w:val="20"/>
        </w:rPr>
        <w:t>SOLICITAN SE PROPORCIONE EN ARCHIVO DIGITAL EL NOMBRE, PUESTO, FECHA DE ALTA Y EN SU CASO FECHA DE BAJA DEL PERSONAL AUTORIZADO ANTE LA SECRETARIA DE EDUCACIÓN PÚBLICA PARA FIRMAR</w:t>
      </w:r>
      <w:r w:rsidR="005D5B95" w:rsidRPr="00756184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756184">
        <w:rPr>
          <w:rFonts w:ascii="Century Gothic" w:eastAsia="Times New Roman" w:hAnsi="Century Gothic" w:cs="Arial"/>
          <w:sz w:val="20"/>
          <w:szCs w:val="20"/>
        </w:rPr>
        <w:t>CERTIFICADOS Y TÍTULOS CON VALIDEZ OFICIAL, EXPEDIDOS POR EL INSTITUTO NACIONAL DE ASTROFÍSICA, ÓPTICA Y ELECTRÓNICA (INAOE) CORRESPONDIENTES A LOS DIPLOMADOS, POSGRADOS,  MAESTRÍAS, DOCTORADOS QUE SE IMPARTEN EN EL CITADO  INSTITUTO, DURANTE EL PERIODO DEL 2017 AL MES DE SEPTIEMBRE DE 2021, ASIMISMO SOLICITAN EN ARCHIVO DIGITAL LOS OFICIOS Y/O DOCUMENTOS CON LOS QUE SE REALIZÓ EL TRAMITE ANTE LA SECRETARIA DE EDUCACIÓN PÚBLICA.</w:t>
      </w:r>
      <w:r w:rsidR="005D5B95" w:rsidRPr="00756184">
        <w:rPr>
          <w:rFonts w:ascii="Century Gothic" w:eastAsia="Times New Roman" w:hAnsi="Century Gothic" w:cs="Arial"/>
          <w:sz w:val="20"/>
          <w:szCs w:val="20"/>
        </w:rPr>
        <w:t>-------------------------------------------------------------------</w:t>
      </w:r>
    </w:p>
    <w:p w14:paraId="7DAC45E5" w14:textId="03149993" w:rsidR="00677648" w:rsidRPr="00CA29D9" w:rsidRDefault="00677648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6C5E6B84" w14:textId="4D74BE45" w:rsidR="00677648" w:rsidRPr="00CA29D9" w:rsidRDefault="00677648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>El 6 de octubre se envió la respuesta de la solicitud antes mencionada, anexando lo siguiente:</w:t>
      </w:r>
    </w:p>
    <w:p w14:paraId="5389A42D" w14:textId="0904576E" w:rsidR="00677648" w:rsidRPr="00CA29D9" w:rsidRDefault="00677648" w:rsidP="00677648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>Nombramientos de los Directores Generales del periodo 2017 a la fecha</w:t>
      </w:r>
      <w:r w:rsidR="005D5B95">
        <w:rPr>
          <w:rFonts w:ascii="Century Gothic" w:eastAsia="Times New Roman" w:hAnsi="Century Gothic" w:cs="Arial"/>
          <w:sz w:val="22"/>
          <w:szCs w:val="22"/>
        </w:rPr>
        <w:t>-------------------------------</w:t>
      </w:r>
    </w:p>
    <w:p w14:paraId="626C3267" w14:textId="2E198CFC" w:rsidR="00677648" w:rsidRPr="00CA29D9" w:rsidRDefault="00677648" w:rsidP="00677648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>• Alta Ante la DGP-SEP del Dr. Leopoldo Altamirano Robles, como Director General</w:t>
      </w:r>
      <w:r w:rsidR="005D5B95">
        <w:rPr>
          <w:rFonts w:ascii="Century Gothic" w:eastAsia="Times New Roman" w:hAnsi="Century Gothic" w:cs="Arial"/>
          <w:sz w:val="22"/>
          <w:szCs w:val="22"/>
        </w:rPr>
        <w:t>---------------</w:t>
      </w:r>
    </w:p>
    <w:p w14:paraId="6BD6945F" w14:textId="3DA43138" w:rsidR="00677648" w:rsidRPr="00CA29D9" w:rsidRDefault="00677648" w:rsidP="00677648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>• Alta ante la DGP-SEP del Dr. Edmundo Gutiérrez Domínguez, como Director General</w:t>
      </w:r>
      <w:r w:rsidR="005D5B95">
        <w:rPr>
          <w:rFonts w:ascii="Century Gothic" w:eastAsia="Times New Roman" w:hAnsi="Century Gothic" w:cs="Arial"/>
          <w:sz w:val="22"/>
          <w:szCs w:val="22"/>
        </w:rPr>
        <w:t>-----------</w:t>
      </w:r>
    </w:p>
    <w:p w14:paraId="0F19CD39" w14:textId="420DA411" w:rsidR="00677648" w:rsidRPr="00CA29D9" w:rsidRDefault="00677648" w:rsidP="00677648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 xml:space="preserve">interino y Director </w:t>
      </w:r>
      <w:r w:rsidR="000F75EF" w:rsidRPr="00CA29D9">
        <w:rPr>
          <w:rFonts w:ascii="Century Gothic" w:eastAsia="Times New Roman" w:hAnsi="Century Gothic" w:cs="Arial"/>
          <w:sz w:val="22"/>
          <w:szCs w:val="22"/>
        </w:rPr>
        <w:t>General</w:t>
      </w:r>
      <w:r w:rsidR="000F75EF">
        <w:rPr>
          <w:rFonts w:ascii="Century Gothic" w:eastAsia="Times New Roman" w:hAnsi="Century Gothic" w:cs="Arial"/>
          <w:sz w:val="22"/>
          <w:szCs w:val="22"/>
        </w:rPr>
        <w:t>. ------------------------------------------------------------------------------------------------</w:t>
      </w:r>
    </w:p>
    <w:p w14:paraId="171729F4" w14:textId="77777777" w:rsidR="00677648" w:rsidRPr="00CA29D9" w:rsidRDefault="00677648" w:rsidP="00677648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6B035DA1" w14:textId="25E04B05" w:rsidR="00677648" w:rsidRPr="00CA29D9" w:rsidRDefault="009416AF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 xml:space="preserve">El </w:t>
      </w:r>
      <w:r w:rsidR="00677648" w:rsidRPr="00CA29D9">
        <w:rPr>
          <w:rFonts w:ascii="Century Gothic" w:eastAsia="Times New Roman" w:hAnsi="Century Gothic" w:cs="Arial"/>
          <w:sz w:val="22"/>
          <w:szCs w:val="22"/>
        </w:rPr>
        <w:t>13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de octubre se recibió por medio de la plataforma el recurso de revisión con número de expediente RRA_11749/21</w:t>
      </w:r>
      <w:r w:rsidR="00677648" w:rsidRPr="00CA29D9">
        <w:rPr>
          <w:rFonts w:ascii="Century Gothic" w:eastAsia="Times New Roman" w:hAnsi="Century Gothic" w:cs="Arial"/>
          <w:sz w:val="22"/>
          <w:szCs w:val="22"/>
        </w:rPr>
        <w:t xml:space="preserve"> en el cual se inconforman con la respuesta que le fue enviada al recurrente y se le dio respuesta el 21 de octubre</w:t>
      </w:r>
      <w:r w:rsidR="00E51638" w:rsidRPr="00CA29D9">
        <w:rPr>
          <w:rFonts w:ascii="Century Gothic" w:eastAsia="Times New Roman" w:hAnsi="Century Gothic" w:cs="Arial"/>
          <w:sz w:val="22"/>
          <w:szCs w:val="22"/>
        </w:rPr>
        <w:t xml:space="preserve"> con lo siguiente</w:t>
      </w:r>
      <w:r w:rsidR="00677648" w:rsidRPr="00CA29D9">
        <w:rPr>
          <w:rFonts w:ascii="Century Gothic" w:eastAsia="Times New Roman" w:hAnsi="Century Gothic" w:cs="Arial"/>
          <w:sz w:val="22"/>
          <w:szCs w:val="22"/>
        </w:rPr>
        <w:t xml:space="preserve">. </w:t>
      </w:r>
      <w:r w:rsidR="005D5B95">
        <w:rPr>
          <w:rFonts w:ascii="Century Gothic" w:eastAsia="Times New Roman" w:hAnsi="Century Gothic" w:cs="Arial"/>
          <w:sz w:val="22"/>
          <w:szCs w:val="22"/>
        </w:rPr>
        <w:t>----------------------------------------</w:t>
      </w:r>
    </w:p>
    <w:p w14:paraId="7077FD93" w14:textId="5F4094F1" w:rsidR="009416AF" w:rsidRPr="00CA29D9" w:rsidRDefault="009416AF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51B4F907" w14:textId="64C8EE0B" w:rsidR="00E51638" w:rsidRPr="00756184" w:rsidRDefault="00E51638" w:rsidP="00756184">
      <w:pPr>
        <w:ind w:left="708"/>
        <w:jc w:val="both"/>
        <w:rPr>
          <w:rFonts w:ascii="Century Gothic" w:eastAsia="Times New Roman" w:hAnsi="Century Gothic" w:cs="Arial"/>
          <w:i/>
          <w:iCs/>
          <w:sz w:val="22"/>
          <w:szCs w:val="22"/>
        </w:rPr>
      </w:pPr>
      <w:r w:rsidRPr="00756184">
        <w:rPr>
          <w:rFonts w:ascii="Century Gothic" w:eastAsia="Times New Roman" w:hAnsi="Century Gothic" w:cs="Arial"/>
          <w:i/>
          <w:iCs/>
          <w:sz w:val="22"/>
          <w:szCs w:val="22"/>
        </w:rPr>
        <w:t xml:space="preserve">Solicitud de enmienda al registro, con fecha del 19 </w:t>
      </w:r>
      <w:r w:rsidR="005D5B95" w:rsidRPr="00756184">
        <w:rPr>
          <w:rFonts w:ascii="Century Gothic" w:eastAsia="Times New Roman" w:hAnsi="Century Gothic" w:cs="Arial"/>
          <w:i/>
          <w:iCs/>
          <w:sz w:val="22"/>
          <w:szCs w:val="22"/>
        </w:rPr>
        <w:t xml:space="preserve">de marzo de 2020, documento que </w:t>
      </w:r>
      <w:r w:rsidRPr="00756184">
        <w:rPr>
          <w:rFonts w:ascii="Century Gothic" w:eastAsia="Times New Roman" w:hAnsi="Century Gothic" w:cs="Arial"/>
          <w:i/>
          <w:iCs/>
          <w:sz w:val="22"/>
          <w:szCs w:val="22"/>
        </w:rPr>
        <w:t>avala la gestión realizada del cambio de Director Gene</w:t>
      </w:r>
      <w:r w:rsidR="005D5B95" w:rsidRPr="00756184">
        <w:rPr>
          <w:rFonts w:ascii="Century Gothic" w:eastAsia="Times New Roman" w:hAnsi="Century Gothic" w:cs="Arial"/>
          <w:i/>
          <w:iCs/>
          <w:sz w:val="22"/>
          <w:szCs w:val="22"/>
        </w:rPr>
        <w:t xml:space="preserve">ral, así como la integración de </w:t>
      </w:r>
      <w:r w:rsidRPr="00756184">
        <w:rPr>
          <w:rFonts w:ascii="Century Gothic" w:eastAsia="Times New Roman" w:hAnsi="Century Gothic" w:cs="Arial"/>
          <w:i/>
          <w:iCs/>
          <w:sz w:val="22"/>
          <w:szCs w:val="22"/>
        </w:rPr>
        <w:t xml:space="preserve">firma y sello a utilizar desde ese </w:t>
      </w:r>
      <w:r w:rsidR="000F75EF" w:rsidRPr="00756184">
        <w:rPr>
          <w:rFonts w:ascii="Century Gothic" w:eastAsia="Times New Roman" w:hAnsi="Century Gothic" w:cs="Arial"/>
          <w:i/>
          <w:iCs/>
          <w:sz w:val="22"/>
          <w:szCs w:val="22"/>
        </w:rPr>
        <w:t>periodo. -------------------------------------------------------------------</w:t>
      </w:r>
    </w:p>
    <w:p w14:paraId="4B9ED278" w14:textId="0B61099F" w:rsidR="00E51638" w:rsidRPr="00CA29D9" w:rsidRDefault="00E51638" w:rsidP="00756184">
      <w:pPr>
        <w:ind w:left="708"/>
        <w:jc w:val="both"/>
        <w:rPr>
          <w:rFonts w:ascii="Century Gothic" w:eastAsia="Times New Roman" w:hAnsi="Century Gothic" w:cs="Arial"/>
          <w:sz w:val="22"/>
          <w:szCs w:val="22"/>
        </w:rPr>
      </w:pPr>
      <w:r w:rsidRPr="00756184">
        <w:rPr>
          <w:rFonts w:ascii="Century Gothic" w:eastAsia="Times New Roman" w:hAnsi="Century Gothic" w:cs="Arial"/>
          <w:i/>
          <w:iCs/>
          <w:sz w:val="22"/>
          <w:szCs w:val="22"/>
        </w:rPr>
        <w:t>Cabe mencionar que, debido a la pandemia, no se ha dictaminado el proceso, para que me sean entregados los Oficios por parte de la Dirección General de Profesiones DGP-SEP; por ello se anexan capturas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de pantalla que los trámites están </w:t>
      </w:r>
      <w:r w:rsidR="000F75EF" w:rsidRPr="00CA29D9">
        <w:rPr>
          <w:rFonts w:ascii="Century Gothic" w:eastAsia="Times New Roman" w:hAnsi="Century Gothic" w:cs="Arial"/>
          <w:sz w:val="22"/>
          <w:szCs w:val="22"/>
        </w:rPr>
        <w:t>realizados.</w:t>
      </w:r>
      <w:r w:rsidR="000F75EF">
        <w:rPr>
          <w:rFonts w:ascii="Century Gothic" w:eastAsia="Times New Roman" w:hAnsi="Century Gothic" w:cs="Arial"/>
          <w:sz w:val="22"/>
          <w:szCs w:val="22"/>
        </w:rPr>
        <w:t xml:space="preserve"> ----</w:t>
      </w:r>
    </w:p>
    <w:p w14:paraId="73578DA4" w14:textId="582411C9" w:rsidR="00E27FE7" w:rsidRPr="00CA29D9" w:rsidRDefault="00476056" w:rsidP="00E51638">
      <w:pPr>
        <w:jc w:val="both"/>
        <w:rPr>
          <w:rFonts w:ascii="Century Gothic" w:eastAsia="Times New Roman" w:hAnsi="Century Gothic" w:cs="Arial"/>
          <w:sz w:val="22"/>
          <w:szCs w:val="22"/>
        </w:rPr>
      </w:pPr>
      <w:r>
        <w:rPr>
          <w:rFonts w:ascii="Century Gothic" w:eastAsia="Times New Roman" w:hAnsi="Century Gothic" w:cs="Arial"/>
          <w:sz w:val="22"/>
          <w:szCs w:val="22"/>
        </w:rPr>
        <w:t>----------------------------------------------------------------------------------------------------------------------------------------</w:t>
      </w:r>
    </w:p>
    <w:p w14:paraId="72331AE9" w14:textId="2EC120A2" w:rsidR="00E27FE7" w:rsidRPr="00CA29D9" w:rsidRDefault="00E27FE7" w:rsidP="00E27FE7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>Acto seguido</w:t>
      </w:r>
      <w:r w:rsidR="00756184">
        <w:rPr>
          <w:rFonts w:ascii="Century Gothic" w:eastAsia="Times New Roman" w:hAnsi="Century Gothic" w:cs="Arial"/>
          <w:sz w:val="22"/>
          <w:szCs w:val="22"/>
        </w:rPr>
        <w:t>,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la Lic. Silvia Hernández Solis, informó que el INAI </w:t>
      </w:r>
      <w:r w:rsidR="005D5B95">
        <w:rPr>
          <w:rFonts w:ascii="Century Gothic" w:eastAsia="Times New Roman" w:hAnsi="Century Gothic" w:cs="Arial"/>
          <w:sz w:val="22"/>
          <w:szCs w:val="22"/>
        </w:rPr>
        <w:t>solicitó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</w:t>
      </w:r>
      <w:r w:rsidR="00756184">
        <w:rPr>
          <w:rFonts w:ascii="Century Gothic" w:eastAsia="Times New Roman" w:hAnsi="Century Gothic" w:cs="Arial"/>
          <w:sz w:val="22"/>
          <w:szCs w:val="22"/>
        </w:rPr>
        <w:t xml:space="preserve">al INAOE 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enviar la siguiente </w:t>
      </w:r>
      <w:r w:rsidR="000F75EF" w:rsidRPr="00CA29D9">
        <w:rPr>
          <w:rFonts w:ascii="Century Gothic" w:eastAsia="Times New Roman" w:hAnsi="Century Gothic" w:cs="Arial"/>
          <w:sz w:val="22"/>
          <w:szCs w:val="22"/>
        </w:rPr>
        <w:t>información:</w:t>
      </w:r>
      <w:r w:rsidR="000F75EF">
        <w:rPr>
          <w:rFonts w:ascii="Century Gothic" w:eastAsia="Times New Roman" w:hAnsi="Century Gothic" w:cs="Arial"/>
          <w:sz w:val="22"/>
          <w:szCs w:val="22"/>
        </w:rPr>
        <w:t xml:space="preserve"> -------------------------------------------------------------------------------------------------------</w:t>
      </w:r>
    </w:p>
    <w:p w14:paraId="33A0BEF2" w14:textId="2ADA4510" w:rsidR="00E27FE7" w:rsidRPr="00CA29D9" w:rsidRDefault="00E27FE7" w:rsidP="00E27FE7">
      <w:pPr>
        <w:jc w:val="both"/>
        <w:rPr>
          <w:rFonts w:ascii="Century Gothic" w:hAnsi="Century Gothic"/>
          <w:sz w:val="22"/>
          <w:szCs w:val="22"/>
        </w:rPr>
      </w:pPr>
      <w:r w:rsidRPr="00CA29D9">
        <w:rPr>
          <w:rFonts w:ascii="Century Gothic" w:hAnsi="Century Gothic"/>
          <w:sz w:val="22"/>
          <w:szCs w:val="22"/>
        </w:rPr>
        <w:t xml:space="preserve">1. Poner a disposición de la persona recurrente, la información hecha llegar a este Instituto en vía de alegatos, por cuanto hace a las capturas de pantalla de la realización de los trámites correspondientes, respecto de los CC. Francisco Javier Renero Carrillo y Yenni María Carpinteyro Tlapanco, que atiende al contenido 2 de la presente solicitud. </w:t>
      </w:r>
      <w:r w:rsidR="005D5B95">
        <w:rPr>
          <w:rFonts w:ascii="Century Gothic" w:hAnsi="Century Gothic"/>
          <w:sz w:val="22"/>
          <w:szCs w:val="22"/>
        </w:rPr>
        <w:t>--------------------------</w:t>
      </w:r>
    </w:p>
    <w:p w14:paraId="1134B9CF" w14:textId="4D81252C" w:rsidR="00E27FE7" w:rsidRPr="00CA29D9" w:rsidRDefault="00E27FE7" w:rsidP="00E27FE7">
      <w:pPr>
        <w:jc w:val="both"/>
        <w:rPr>
          <w:rFonts w:ascii="Century Gothic" w:hAnsi="Century Gothic"/>
          <w:sz w:val="22"/>
          <w:szCs w:val="22"/>
        </w:rPr>
      </w:pPr>
      <w:r w:rsidRPr="00CA29D9">
        <w:rPr>
          <w:rFonts w:ascii="Century Gothic" w:hAnsi="Century Gothic"/>
          <w:sz w:val="22"/>
          <w:szCs w:val="22"/>
        </w:rPr>
        <w:t xml:space="preserve">2. Realizar una búsqueda de información, respecto de los dos numerales solicitados, del C. Edmundo Antonio Gutiérrez </w:t>
      </w:r>
      <w:r w:rsidR="000F75EF" w:rsidRPr="00CA29D9">
        <w:rPr>
          <w:rFonts w:ascii="Century Gothic" w:hAnsi="Century Gothic"/>
          <w:sz w:val="22"/>
          <w:szCs w:val="22"/>
        </w:rPr>
        <w:t>Domínguez.</w:t>
      </w:r>
      <w:r w:rsidR="000F75EF">
        <w:rPr>
          <w:rFonts w:ascii="Century Gothic" w:hAnsi="Century Gothic"/>
          <w:sz w:val="22"/>
          <w:szCs w:val="22"/>
        </w:rPr>
        <w:t xml:space="preserve"> -----------------------------------------------------------------------------</w:t>
      </w:r>
    </w:p>
    <w:p w14:paraId="1821E551" w14:textId="67FED78F" w:rsidR="00E27FE7" w:rsidRPr="00CA29D9" w:rsidRDefault="00E27FE7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hAnsi="Century Gothic"/>
          <w:sz w:val="22"/>
          <w:szCs w:val="22"/>
        </w:rPr>
        <w:t xml:space="preserve"> 3. Que de conformidad con los artículos 141 y 143 de la Ley de la materia, el Instituto Nacional de Astrofísica, Óptica y Electrónica, por medio de su Comité de Transparencia declare la inexistencia de la información respecto de la información identificada en el contenido 1 de la solicitud sobre los CC. Francisco Javier Renero Carrillo y Yenni María Carpinteyro Tlapanco.</w:t>
      </w:r>
    </w:p>
    <w:p w14:paraId="3BEF53BC" w14:textId="125C70C3" w:rsidR="00E27FE7" w:rsidRPr="00CA29D9" w:rsidRDefault="00E83A1D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  <w:r>
        <w:rPr>
          <w:rFonts w:ascii="Century Gothic" w:eastAsia="Times New Roman" w:hAnsi="Century Gothic" w:cs="Arial"/>
          <w:sz w:val="22"/>
          <w:szCs w:val="22"/>
        </w:rPr>
        <w:t>----------------------------------------------------------------------------------------------------------------------------------------</w:t>
      </w:r>
    </w:p>
    <w:p w14:paraId="6C9F8B47" w14:textId="7D24E09C" w:rsidR="00E51638" w:rsidRPr="00CA29D9" w:rsidRDefault="00E51638" w:rsidP="009416AF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A29D9">
        <w:rPr>
          <w:rFonts w:ascii="Century Gothic" w:eastAsia="Times New Roman" w:hAnsi="Century Gothic" w:cs="Arial"/>
          <w:sz w:val="22"/>
          <w:szCs w:val="22"/>
        </w:rPr>
        <w:t>La Lic. Silvia Hernández Solis, informó que se envió vía correo electrónico la información de los alegatos</w:t>
      </w:r>
      <w:r w:rsidR="00E83A1D">
        <w:rPr>
          <w:rFonts w:ascii="Century Gothic" w:eastAsia="Times New Roman" w:hAnsi="Century Gothic" w:cs="Arial"/>
          <w:sz w:val="22"/>
          <w:szCs w:val="22"/>
        </w:rPr>
        <w:t>, misma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</w:t>
      </w:r>
      <w:r w:rsidR="002802AA" w:rsidRPr="00CA29D9">
        <w:rPr>
          <w:rFonts w:ascii="Century Gothic" w:eastAsia="Times New Roman" w:hAnsi="Century Gothic" w:cs="Arial"/>
          <w:sz w:val="22"/>
          <w:szCs w:val="22"/>
        </w:rPr>
        <w:t xml:space="preserve">que se </w:t>
      </w:r>
      <w:r w:rsidR="00E83A1D">
        <w:rPr>
          <w:rFonts w:ascii="Century Gothic" w:eastAsia="Times New Roman" w:hAnsi="Century Gothic" w:cs="Arial"/>
          <w:sz w:val="22"/>
          <w:szCs w:val="22"/>
        </w:rPr>
        <w:t>dispuso</w:t>
      </w:r>
      <w:r w:rsidR="002802AA" w:rsidRPr="00CA29D9">
        <w:rPr>
          <w:rFonts w:ascii="Century Gothic" w:eastAsia="Times New Roman" w:hAnsi="Century Gothic" w:cs="Arial"/>
          <w:sz w:val="22"/>
          <w:szCs w:val="22"/>
        </w:rPr>
        <w:t xml:space="preserve"> en la Plataforma Nacional de Transparencia </w:t>
      </w:r>
      <w:r w:rsidRPr="00CA29D9">
        <w:rPr>
          <w:rFonts w:ascii="Century Gothic" w:eastAsia="Times New Roman" w:hAnsi="Century Gothic" w:cs="Arial"/>
          <w:sz w:val="22"/>
          <w:szCs w:val="22"/>
        </w:rPr>
        <w:t>al recurrente</w:t>
      </w:r>
      <w:r w:rsidR="002802AA" w:rsidRPr="00CA29D9">
        <w:rPr>
          <w:rFonts w:ascii="Century Gothic" w:eastAsia="Times New Roman" w:hAnsi="Century Gothic" w:cs="Arial"/>
          <w:sz w:val="22"/>
          <w:szCs w:val="22"/>
        </w:rPr>
        <w:t xml:space="preserve">. También se le envió el oficio de la SEP </w:t>
      </w:r>
      <w:r w:rsidR="002802AA" w:rsidRPr="00CA29D9">
        <w:rPr>
          <w:rFonts w:ascii="Century Gothic" w:hAnsi="Century Gothic"/>
          <w:sz w:val="22"/>
          <w:szCs w:val="22"/>
        </w:rPr>
        <w:t>donde informa</w:t>
      </w:r>
      <w:r w:rsidR="00E83A1D">
        <w:rPr>
          <w:rFonts w:ascii="Century Gothic" w:hAnsi="Century Gothic"/>
          <w:sz w:val="22"/>
          <w:szCs w:val="22"/>
        </w:rPr>
        <w:t xml:space="preserve"> </w:t>
      </w:r>
      <w:r w:rsidR="002802AA" w:rsidRPr="00CA29D9">
        <w:rPr>
          <w:rFonts w:ascii="Century Gothic" w:hAnsi="Century Gothic"/>
          <w:sz w:val="22"/>
          <w:szCs w:val="22"/>
        </w:rPr>
        <w:t>que el Director General, Dr. Edmundo Antonio Gutiérrez Domínguez se encuentra registrado como firmante autorizado en la plataforma de Titulación Electrónica del Gobierno del Estado de Puebla y se informó que, de acuerdo a la Ley Reglamentaria del artículo quinto constitucional relativo al ejercicio de las profesiones en México, el único facultado para firmar certificados y títulos con validez oficial, expedidos por el Instituto Nacional de Astrofísica, Óptica y Electrónica (INAOE) correspondientes a los diplomados, posgrados, maestrías, doctorados que se imparten en el citado Instituto es el Director General, Dr. Edmundo Antonio Gutiérrez Domínguez.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</w:t>
      </w:r>
      <w:r w:rsidR="005D5B95">
        <w:rPr>
          <w:rFonts w:ascii="Century Gothic" w:eastAsia="Times New Roman" w:hAnsi="Century Gothic" w:cs="Arial"/>
          <w:sz w:val="22"/>
          <w:szCs w:val="22"/>
        </w:rPr>
        <w:t>--------------------------------</w:t>
      </w:r>
      <w:r w:rsidR="00E83A1D">
        <w:rPr>
          <w:rFonts w:ascii="Century Gothic" w:eastAsia="Times New Roman" w:hAnsi="Century Gothic" w:cs="Arial"/>
          <w:sz w:val="22"/>
          <w:szCs w:val="22"/>
        </w:rPr>
        <w:t>------------------------------------------------------------------------------------------------------------------------</w:t>
      </w:r>
    </w:p>
    <w:p w14:paraId="01E010EA" w14:textId="77777777" w:rsidR="00677648" w:rsidRPr="00CA29D9" w:rsidRDefault="00677648" w:rsidP="009416AF">
      <w:pPr>
        <w:jc w:val="both"/>
        <w:rPr>
          <w:rFonts w:ascii="Century Gothic" w:eastAsia="Times New Roman" w:hAnsi="Century Gothic" w:cs="Arial"/>
          <w:bCs/>
          <w:sz w:val="22"/>
          <w:szCs w:val="22"/>
        </w:rPr>
      </w:pPr>
    </w:p>
    <w:p w14:paraId="1141A352" w14:textId="58754398" w:rsidR="002802AA" w:rsidRPr="00CA29D9" w:rsidRDefault="002802AA" w:rsidP="002802AA">
      <w:pPr>
        <w:spacing w:after="160" w:line="259" w:lineRule="auto"/>
        <w:jc w:val="both"/>
        <w:rPr>
          <w:rFonts w:ascii="Century Gothic" w:eastAsia="Times New Roman" w:hAnsi="Century Gothic" w:cs="Arial"/>
          <w:bCs/>
          <w:sz w:val="22"/>
          <w:szCs w:val="22"/>
        </w:rPr>
      </w:pPr>
      <w:r w:rsidRPr="00CA29D9">
        <w:rPr>
          <w:rFonts w:ascii="Century Gothic" w:eastAsia="Times New Roman" w:hAnsi="Century Gothic" w:cs="Arial"/>
          <w:bCs/>
          <w:sz w:val="22"/>
          <w:szCs w:val="22"/>
        </w:rPr>
        <w:lastRenderedPageBreak/>
        <w:t xml:space="preserve">El Titular de la Unidad de Transparencia, informó al comité que </w:t>
      </w:r>
      <w:r w:rsidRPr="00CA29D9">
        <w:rPr>
          <w:rFonts w:ascii="Century Gothic" w:hAnsi="Century Gothic"/>
          <w:sz w:val="22"/>
          <w:szCs w:val="22"/>
        </w:rPr>
        <w:t>el único facultado para firmar certificados y títulos con validez oficial, expedidos por el Instituto Nacional de Astrofísica, Óptica y Electrónica (INAOE) correspondientes a los diplomados, posgrados, maestrías, doctorados que se imparten en el Insti</w:t>
      </w:r>
      <w:r w:rsidR="00E27FE7" w:rsidRPr="00CA29D9">
        <w:rPr>
          <w:rFonts w:ascii="Century Gothic" w:hAnsi="Century Gothic"/>
          <w:sz w:val="22"/>
          <w:szCs w:val="22"/>
        </w:rPr>
        <w:t>tuto es el Director General.</w:t>
      </w:r>
      <w:r w:rsidR="00476056">
        <w:rPr>
          <w:rFonts w:ascii="Century Gothic" w:hAnsi="Century Gothic"/>
          <w:sz w:val="22"/>
          <w:szCs w:val="22"/>
        </w:rPr>
        <w:t xml:space="preserve"> </w:t>
      </w:r>
    </w:p>
    <w:p w14:paraId="67464786" w14:textId="597D4F7A" w:rsidR="002802AA" w:rsidRPr="00CA29D9" w:rsidRDefault="00E27FE7" w:rsidP="00E27FE7">
      <w:pPr>
        <w:spacing w:after="160" w:line="259" w:lineRule="auto"/>
        <w:jc w:val="both"/>
        <w:rPr>
          <w:rFonts w:ascii="Century Gothic" w:eastAsia="Times New Roman" w:hAnsi="Century Gothic" w:cs="Arial"/>
          <w:b/>
          <w:bCs/>
          <w:sz w:val="22"/>
          <w:szCs w:val="22"/>
        </w:rPr>
      </w:pPr>
      <w:r w:rsidRPr="00CA29D9">
        <w:rPr>
          <w:rFonts w:ascii="Century Gothic" w:eastAsia="Times New Roman" w:hAnsi="Century Gothic" w:cs="Arial"/>
          <w:bCs/>
          <w:sz w:val="22"/>
          <w:szCs w:val="22"/>
        </w:rPr>
        <w:t xml:space="preserve">El comité tomó el siguiente acuerdo: </w:t>
      </w:r>
      <w:r w:rsidRPr="00CA29D9">
        <w:rPr>
          <w:rFonts w:ascii="Century Gothic" w:hAnsi="Century Gothic" w:cs="Arial"/>
          <w:b/>
          <w:sz w:val="22"/>
          <w:szCs w:val="22"/>
        </w:rPr>
        <w:t>CT-4O-01-2021.-</w:t>
      </w:r>
      <w:r w:rsidRPr="00CA29D9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 El Comité de Transparencia aprobó por unanimidad conforme a sus funciones </w:t>
      </w:r>
      <w:r w:rsidR="00476056">
        <w:rPr>
          <w:rFonts w:ascii="Century Gothic" w:eastAsia="Times New Roman" w:hAnsi="Century Gothic" w:cs="Arial"/>
          <w:b/>
          <w:bCs/>
          <w:sz w:val="22"/>
          <w:szCs w:val="22"/>
        </w:rPr>
        <w:t>determinadas en</w:t>
      </w:r>
      <w:r w:rsidRPr="00CA29D9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 los artículos 141 y 143 de la Ley Federal De Transparencia y Acceso a La Información Pública, la inexistencia de información del Dr. Francisco Renero Carrillo y de la Mtra. Yenni Carpinteyro</w:t>
      </w:r>
      <w:r w:rsidR="00476056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 que los acredite para firmar documentos oficiales ante la SEP, </w:t>
      </w:r>
      <w:r w:rsidRPr="00CA29D9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 ya que el único facultado </w:t>
      </w:r>
      <w:r w:rsidR="00476056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en el INAOE </w:t>
      </w:r>
      <w:r w:rsidRPr="00CA29D9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para firmar documentos oficiales ante la SEP es el Director </w:t>
      </w:r>
      <w:r w:rsidR="000F75EF" w:rsidRPr="00CA29D9">
        <w:rPr>
          <w:rFonts w:ascii="Century Gothic" w:eastAsia="Times New Roman" w:hAnsi="Century Gothic" w:cs="Arial"/>
          <w:b/>
          <w:bCs/>
          <w:sz w:val="22"/>
          <w:szCs w:val="22"/>
        </w:rPr>
        <w:t>General.</w:t>
      </w:r>
      <w:r w:rsidR="000F75EF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 --</w:t>
      </w:r>
      <w:r w:rsidR="00476056">
        <w:rPr>
          <w:rFonts w:ascii="Century Gothic" w:eastAsia="Times New Roman" w:hAnsi="Century Gothic" w:cs="Arial"/>
          <w:b/>
          <w:bCs/>
          <w:sz w:val="22"/>
          <w:szCs w:val="22"/>
        </w:rPr>
        <w:t>---------------------------------------</w:t>
      </w:r>
      <w:r w:rsidR="000F75EF">
        <w:rPr>
          <w:rFonts w:ascii="Century Gothic" w:eastAsia="Times New Roman" w:hAnsi="Century Gothic" w:cs="Arial"/>
          <w:b/>
          <w:bCs/>
          <w:sz w:val="22"/>
          <w:szCs w:val="22"/>
        </w:rPr>
        <w:t>--------------</w:t>
      </w:r>
      <w:r w:rsidR="00476056">
        <w:rPr>
          <w:rFonts w:ascii="Century Gothic" w:eastAsia="Times New Roman" w:hAnsi="Century Gothic" w:cs="Arial"/>
          <w:b/>
          <w:bCs/>
          <w:sz w:val="22"/>
          <w:szCs w:val="22"/>
        </w:rPr>
        <w:t>----------------------------------------------------------------------------------</w:t>
      </w:r>
      <w:r w:rsidR="000F75EF">
        <w:rPr>
          <w:rFonts w:ascii="Century Gothic" w:eastAsia="Times New Roman" w:hAnsi="Century Gothic" w:cs="Arial"/>
          <w:b/>
          <w:bCs/>
          <w:sz w:val="22"/>
          <w:szCs w:val="22"/>
        </w:rPr>
        <w:t>-------------</w:t>
      </w:r>
    </w:p>
    <w:p w14:paraId="69761DE0" w14:textId="7D674E6C" w:rsidR="005A640B" w:rsidRPr="005D5B95" w:rsidRDefault="005D5B95" w:rsidP="00E27FE7">
      <w:pPr>
        <w:pStyle w:val="Prrafodelista"/>
        <w:jc w:val="both"/>
        <w:rPr>
          <w:rFonts w:ascii="Century Gothic" w:hAnsi="Century Gothic"/>
          <w:b/>
        </w:rPr>
      </w:pPr>
      <w:r w:rsidRPr="005D5B95">
        <w:rPr>
          <w:rFonts w:ascii="Century Gothic" w:eastAsia="Times New Roman" w:hAnsi="Century Gothic" w:cs="Arial"/>
          <w:b/>
          <w:lang w:val="es-ES_tradnl" w:eastAsia="es-ES"/>
        </w:rPr>
        <w:t>4.- REVISIÓN DEL RECURSO DE REVISIÓN RRA_</w:t>
      </w:r>
      <w:r w:rsidRPr="005D5B95">
        <w:rPr>
          <w:rFonts w:ascii="Century Gothic" w:hAnsi="Century Gothic"/>
          <w:b/>
          <w:shd w:val="clear" w:color="auto" w:fill="FFFFFF"/>
        </w:rPr>
        <w:t>13167/21</w:t>
      </w:r>
      <w:r w:rsidRPr="005D5B95">
        <w:rPr>
          <w:rFonts w:ascii="Century Gothic" w:eastAsia="Times New Roman" w:hAnsi="Century Gothic" w:cs="Arial"/>
          <w:b/>
          <w:lang w:val="es-ES_tradnl" w:eastAsia="es-ES"/>
        </w:rPr>
        <w:t xml:space="preserve"> DE LA SOLICITUD DE INFORMACIÓN 330018421000010 Y DEL </w:t>
      </w:r>
      <w:hyperlink r:id="rId10" w:history="1">
        <w:r w:rsidRPr="005D5B95">
          <w:rPr>
            <w:rStyle w:val="Hipervnculo"/>
            <w:rFonts w:ascii="Century Gothic" w:hAnsi="Century Gothic"/>
            <w:b/>
            <w:color w:val="auto"/>
            <w:bdr w:val="none" w:sz="0" w:space="0" w:color="auto" w:frame="1"/>
            <w:shd w:val="clear" w:color="auto" w:fill="FFFFFF"/>
          </w:rPr>
          <w:t>RRA_13160/21</w:t>
        </w:r>
      </w:hyperlink>
      <w:r w:rsidRPr="005D5B95">
        <w:rPr>
          <w:rFonts w:ascii="Century Gothic" w:hAnsi="Century Gothic"/>
          <w:b/>
        </w:rPr>
        <w:t xml:space="preserve"> DE LA SOLICITUD DE INFORMACIÓN </w:t>
      </w:r>
      <w:hyperlink r:id="rId11" w:history="1">
        <w:r w:rsidRPr="005D5B95">
          <w:rPr>
            <w:rStyle w:val="Hipervnculo"/>
            <w:rFonts w:ascii="Century Gothic" w:hAnsi="Century Gothic"/>
            <w:b/>
            <w:color w:val="auto"/>
            <w:bdr w:val="none" w:sz="0" w:space="0" w:color="auto" w:frame="1"/>
            <w:shd w:val="clear" w:color="auto" w:fill="FFFFFF"/>
          </w:rPr>
          <w:t>331030621000006</w:t>
        </w:r>
      </w:hyperlink>
      <w:r w:rsidRPr="005D5B95">
        <w:rPr>
          <w:rFonts w:ascii="Century Gothic" w:hAnsi="Century Gothic"/>
          <w:b/>
        </w:rPr>
        <w:t xml:space="preserve"> PARA DAR RESPUESTA A LOS MISMOS.-------------------</w:t>
      </w:r>
    </w:p>
    <w:p w14:paraId="773E95EF" w14:textId="6F569232" w:rsidR="00174133" w:rsidRPr="00CA29D9" w:rsidRDefault="000A51BF" w:rsidP="00174133">
      <w:pPr>
        <w:jc w:val="both"/>
        <w:rPr>
          <w:rFonts w:ascii="Century Gothic" w:hAnsi="Century Gothic"/>
          <w:sz w:val="22"/>
          <w:szCs w:val="22"/>
        </w:rPr>
      </w:pPr>
      <w:r w:rsidRPr="00CA29D9">
        <w:rPr>
          <w:rFonts w:ascii="Century Gothic" w:hAnsi="Century Gothic"/>
          <w:sz w:val="22"/>
          <w:szCs w:val="22"/>
        </w:rPr>
        <w:t xml:space="preserve">El Titular del comité informó que se recibieron </w:t>
      </w:r>
      <w:r w:rsidRPr="00CA29D9">
        <w:rPr>
          <w:rFonts w:ascii="Century Gothic" w:eastAsia="Times New Roman" w:hAnsi="Century Gothic" w:cs="Arial"/>
          <w:sz w:val="22"/>
          <w:szCs w:val="22"/>
        </w:rPr>
        <w:t>la</w:t>
      </w:r>
      <w:r w:rsidR="00476056">
        <w:rPr>
          <w:rFonts w:ascii="Century Gothic" w:eastAsia="Times New Roman" w:hAnsi="Century Gothic" w:cs="Arial"/>
          <w:sz w:val="22"/>
          <w:szCs w:val="22"/>
        </w:rPr>
        <w:t>s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solicitud</w:t>
      </w:r>
      <w:r w:rsidR="00476056">
        <w:rPr>
          <w:rFonts w:ascii="Century Gothic" w:eastAsia="Times New Roman" w:hAnsi="Century Gothic" w:cs="Arial"/>
          <w:sz w:val="22"/>
          <w:szCs w:val="22"/>
        </w:rPr>
        <w:t>es</w:t>
      </w:r>
      <w:r w:rsidRPr="00CA29D9">
        <w:rPr>
          <w:rFonts w:ascii="Century Gothic" w:eastAsia="Times New Roman" w:hAnsi="Century Gothic" w:cs="Arial"/>
          <w:sz w:val="22"/>
          <w:szCs w:val="22"/>
        </w:rPr>
        <w:t xml:space="preserve"> de información 330018421000010  y </w:t>
      </w:r>
      <w:hyperlink r:id="rId12" w:history="1">
        <w:r w:rsidRPr="00CA29D9">
          <w:rPr>
            <w:rStyle w:val="Hipervnculo"/>
            <w:rFonts w:ascii="Century Gothic" w:hAnsi="Century Gothic"/>
            <w:color w:val="222222"/>
            <w:sz w:val="22"/>
            <w:szCs w:val="22"/>
            <w:bdr w:val="none" w:sz="0" w:space="0" w:color="auto" w:frame="1"/>
            <w:shd w:val="clear" w:color="auto" w:fill="FFFFFF"/>
          </w:rPr>
          <w:t>331030621000006</w:t>
        </w:r>
      </w:hyperlink>
      <w:r w:rsidR="00476056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>;</w:t>
      </w:r>
      <w:r w:rsidRPr="00CA29D9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una en la plataforma de solicitudes del INAOE y otra en la del FIDEICOMISO</w:t>
      </w:r>
      <w:r w:rsidR="00476056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>.</w:t>
      </w:r>
      <w:r w:rsidRPr="00CA29D9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</w:t>
      </w:r>
      <w:r w:rsidR="00476056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>S</w:t>
      </w:r>
      <w:r w:rsidRPr="00CA29D9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>olicit</w:t>
      </w:r>
      <w:r w:rsidR="00476056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>ud de</w:t>
      </w:r>
      <w:r w:rsidRPr="00CA29D9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información </w:t>
      </w:r>
      <w:r w:rsidR="00476056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>con</w:t>
      </w:r>
      <w:r w:rsidRPr="00CA29D9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base </w:t>
      </w:r>
      <w:r w:rsidR="00476056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>en</w:t>
      </w:r>
      <w:r w:rsidRPr="00CA29D9">
        <w:rPr>
          <w:rStyle w:val="Hipervnculo"/>
          <w:rFonts w:ascii="Century Gothic" w:hAnsi="Century Gothic"/>
          <w:color w:val="222222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la Ley de Responsabilidades Administrativas, </w:t>
      </w:r>
      <w:r w:rsidRPr="00CA29D9">
        <w:rPr>
          <w:rFonts w:ascii="Century Gothic" w:hAnsi="Century Gothic"/>
          <w:sz w:val="22"/>
          <w:szCs w:val="22"/>
        </w:rPr>
        <w:t xml:space="preserve">expediente de los procedimientos de investigación y/o substanciación (de cada uno), durante el período comprendido del año 2017 a la fecha de entrega de la información y conforme a cada expediente administrativo, </w:t>
      </w:r>
      <w:r w:rsidR="00476056">
        <w:rPr>
          <w:rFonts w:ascii="Century Gothic" w:hAnsi="Century Gothic"/>
          <w:sz w:val="22"/>
          <w:szCs w:val="22"/>
        </w:rPr>
        <w:t>a</w:t>
      </w:r>
      <w:r w:rsidRPr="00CA29D9">
        <w:rPr>
          <w:rFonts w:ascii="Century Gothic" w:hAnsi="Century Gothic"/>
          <w:sz w:val="22"/>
          <w:szCs w:val="22"/>
        </w:rPr>
        <w:t>preciados en el número anterior, info</w:t>
      </w:r>
      <w:r w:rsidR="00174133" w:rsidRPr="00CA29D9">
        <w:rPr>
          <w:rFonts w:ascii="Century Gothic" w:hAnsi="Century Gothic"/>
          <w:sz w:val="22"/>
          <w:szCs w:val="22"/>
        </w:rPr>
        <w:t xml:space="preserve">rmación </w:t>
      </w:r>
      <w:r w:rsidR="00D35DAF">
        <w:rPr>
          <w:rFonts w:ascii="Century Gothic" w:hAnsi="Century Gothic"/>
          <w:sz w:val="22"/>
          <w:szCs w:val="22"/>
        </w:rPr>
        <w:t xml:space="preserve">que debe ir </w:t>
      </w:r>
      <w:r w:rsidR="00174133" w:rsidRPr="00CA29D9">
        <w:rPr>
          <w:rFonts w:ascii="Century Gothic" w:hAnsi="Century Gothic"/>
          <w:sz w:val="22"/>
          <w:szCs w:val="22"/>
        </w:rPr>
        <w:t>debidamente relacionada:</w:t>
      </w:r>
    </w:p>
    <w:p w14:paraId="41D96DAA" w14:textId="2258F96C" w:rsidR="000A51BF" w:rsidRPr="00D35DAF" w:rsidRDefault="000A51BF" w:rsidP="00174133">
      <w:pPr>
        <w:jc w:val="both"/>
        <w:rPr>
          <w:rFonts w:ascii="Century Gothic" w:hAnsi="Century Gothic"/>
          <w:i/>
          <w:iCs/>
          <w:sz w:val="22"/>
          <w:szCs w:val="22"/>
        </w:rPr>
      </w:pPr>
      <w:r w:rsidRPr="00D35DAF">
        <w:rPr>
          <w:rFonts w:ascii="Century Gothic" w:hAnsi="Century Gothic"/>
          <w:i/>
          <w:iCs/>
          <w:sz w:val="22"/>
          <w:szCs w:val="22"/>
        </w:rPr>
        <w:t>Número de expediente</w:t>
      </w:r>
      <w:r w:rsidR="00174133" w:rsidRPr="00D35DAF">
        <w:rPr>
          <w:rFonts w:ascii="Century Gothic" w:hAnsi="Century Gothic"/>
          <w:i/>
          <w:iCs/>
          <w:sz w:val="22"/>
          <w:szCs w:val="22"/>
        </w:rPr>
        <w:t xml:space="preserve">, </w:t>
      </w:r>
      <w:r w:rsidRPr="00D35DAF">
        <w:rPr>
          <w:rFonts w:ascii="Century Gothic" w:hAnsi="Century Gothic"/>
          <w:i/>
          <w:iCs/>
          <w:sz w:val="22"/>
          <w:szCs w:val="22"/>
        </w:rPr>
        <w:t>Etapa procesal en la que se encuentra el procedimiento al día de la entrega de información</w:t>
      </w:r>
      <w:r w:rsidR="00174133" w:rsidRPr="00D35DAF">
        <w:rPr>
          <w:rFonts w:ascii="Century Gothic" w:hAnsi="Century Gothic"/>
          <w:i/>
          <w:iCs/>
          <w:sz w:val="22"/>
          <w:szCs w:val="22"/>
        </w:rPr>
        <w:t xml:space="preserve">, </w:t>
      </w:r>
      <w:r w:rsidRPr="00D35DAF">
        <w:rPr>
          <w:rFonts w:ascii="Century Gothic" w:hAnsi="Century Gothic"/>
          <w:i/>
          <w:iCs/>
          <w:sz w:val="22"/>
          <w:szCs w:val="22"/>
        </w:rPr>
        <w:t>Fecha de inicio de la investigación</w:t>
      </w:r>
      <w:r w:rsidR="00174133" w:rsidRPr="00D35DAF">
        <w:rPr>
          <w:rFonts w:ascii="Century Gothic" w:hAnsi="Century Gothic"/>
          <w:i/>
          <w:iCs/>
          <w:sz w:val="22"/>
          <w:szCs w:val="22"/>
        </w:rPr>
        <w:t xml:space="preserve">, </w:t>
      </w:r>
      <w:r w:rsidRPr="00D35DAF">
        <w:rPr>
          <w:rFonts w:ascii="Century Gothic" w:hAnsi="Century Gothic"/>
          <w:i/>
          <w:iCs/>
          <w:sz w:val="22"/>
          <w:szCs w:val="22"/>
        </w:rPr>
        <w:t>Fecha de la resolución definitiva tratándose de faltas administrativas no graves</w:t>
      </w:r>
      <w:r w:rsidR="00174133" w:rsidRPr="00D35DAF">
        <w:rPr>
          <w:rFonts w:ascii="Century Gothic" w:hAnsi="Century Gothic"/>
          <w:i/>
          <w:iCs/>
          <w:sz w:val="22"/>
          <w:szCs w:val="22"/>
        </w:rPr>
        <w:t xml:space="preserve">, </w:t>
      </w:r>
      <w:r w:rsidRPr="00D35DAF">
        <w:rPr>
          <w:rFonts w:ascii="Century Gothic" w:hAnsi="Century Gothic"/>
          <w:i/>
          <w:iCs/>
          <w:sz w:val="22"/>
          <w:szCs w:val="22"/>
        </w:rPr>
        <w:t>Fecha de calificación de la falta administrativa grave, y fecha del envío del procedimiento al Tribunal Federal de Justicia Administrativa</w:t>
      </w:r>
      <w:r w:rsidR="00174133" w:rsidRPr="00D35DAF">
        <w:rPr>
          <w:rFonts w:ascii="Century Gothic" w:hAnsi="Century Gothic"/>
          <w:i/>
          <w:iCs/>
          <w:sz w:val="22"/>
          <w:szCs w:val="22"/>
        </w:rPr>
        <w:t xml:space="preserve"> etc. </w:t>
      </w:r>
    </w:p>
    <w:p w14:paraId="37FA5594" w14:textId="002D926A" w:rsidR="00174133" w:rsidRPr="00D35DAF" w:rsidRDefault="00A169DA" w:rsidP="00174133">
      <w:pPr>
        <w:jc w:val="both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----------------------------------------------------------------------------------------------------------------------------------------</w:t>
      </w:r>
    </w:p>
    <w:p w14:paraId="45E50CEF" w14:textId="7FE29C2D" w:rsidR="00174133" w:rsidRPr="00CA29D9" w:rsidRDefault="00174133" w:rsidP="00174133">
      <w:pPr>
        <w:jc w:val="both"/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</w:pPr>
      <w:r w:rsidRPr="00CA29D9">
        <w:rPr>
          <w:rFonts w:ascii="Century Gothic" w:hAnsi="Century Gothic"/>
          <w:sz w:val="22"/>
          <w:szCs w:val="22"/>
        </w:rPr>
        <w:t>Se informó al comité que</w:t>
      </w:r>
      <w:r w:rsidR="00D35DAF">
        <w:rPr>
          <w:rFonts w:ascii="Century Gothic" w:hAnsi="Century Gothic"/>
          <w:sz w:val="22"/>
          <w:szCs w:val="22"/>
        </w:rPr>
        <w:t xml:space="preserve"> a</w:t>
      </w:r>
      <w:r w:rsidRPr="00CA29D9">
        <w:rPr>
          <w:rFonts w:ascii="Century Gothic" w:hAnsi="Century Gothic"/>
          <w:sz w:val="22"/>
          <w:szCs w:val="22"/>
        </w:rPr>
        <w:t xml:space="preserve"> las solicitudes antes mencionadas se les dio respuesta indicando que </w:t>
      </w:r>
      <w:r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NO ES COMPETENCIA DE ESTA UNIDAD DE ENLACE </w:t>
      </w:r>
      <w:r w:rsid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proporcionar la información solicitada </w:t>
      </w:r>
      <w:r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y sugerimos que la información la solicit</w:t>
      </w:r>
      <w:r w:rsid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ara</w:t>
      </w:r>
      <w:r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 a la Secretar</w:t>
      </w:r>
      <w:r w:rsid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í</w:t>
      </w:r>
      <w:r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a de la Función </w:t>
      </w:r>
      <w:r w:rsidR="000F75EF"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Pública.</w:t>
      </w:r>
      <w:r w:rsidR="000F75E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 -----</w:t>
      </w:r>
      <w:r w:rsid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--</w:t>
      </w:r>
      <w:r w:rsidR="000F75E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------------------------------------------------</w:t>
      </w:r>
      <w:r w:rsid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---------------------------------------------------------------------------</w:t>
      </w:r>
      <w:r w:rsidR="000F75E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-----------------------</w:t>
      </w:r>
    </w:p>
    <w:p w14:paraId="42F5B075" w14:textId="2EF2C34E" w:rsidR="00174133" w:rsidRPr="00CA29D9" w:rsidRDefault="00174133" w:rsidP="00174133">
      <w:pPr>
        <w:jc w:val="both"/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</w:pPr>
    </w:p>
    <w:p w14:paraId="00E22497" w14:textId="040F54FD" w:rsidR="00174133" w:rsidRPr="00CA29D9" w:rsidRDefault="00174133" w:rsidP="00174133">
      <w:pPr>
        <w:jc w:val="both"/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</w:pPr>
      <w:r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El Titular de la Unidad de Transparencia informó que el recurrente se inconformó</w:t>
      </w:r>
      <w:r w:rsidR="00D35DAF" w:rsidRP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 </w:t>
      </w:r>
      <w:r w:rsid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con</w:t>
      </w:r>
      <w:r w:rsidR="00D35DAF"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 las </w:t>
      </w:r>
      <w:r w:rsid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respuestas a las </w:t>
      </w:r>
      <w:r w:rsidR="00D35DAF"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solicitudes antes mencionadas</w:t>
      </w:r>
      <w:r w:rsidR="000F75EF"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.</w:t>
      </w:r>
      <w:r w:rsidR="000F75E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 ------------------------------------------------------------------------</w:t>
      </w:r>
      <w:r w:rsidR="00D35DA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---------------------------------------------------------------------------------------------------------------------------------</w:t>
      </w:r>
      <w:r w:rsidR="000F75EF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-</w:t>
      </w:r>
    </w:p>
    <w:p w14:paraId="0D458CDF" w14:textId="43AC80B3" w:rsidR="00E27FE7" w:rsidRPr="00A169DA" w:rsidRDefault="00D35DAF" w:rsidP="00A169DA">
      <w:pPr>
        <w:jc w:val="both"/>
        <w:rPr>
          <w:rFonts w:ascii="Century Gothic" w:eastAsia="Times New Roman" w:hAnsi="Century Gothic" w:cs="Arial"/>
        </w:rPr>
      </w:pPr>
      <w:r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Se determinó </w:t>
      </w:r>
      <w:r w:rsidR="00174133"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dar contestación de los alegatos </w:t>
      </w:r>
      <w:r w:rsidR="00A169DA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en el sentido </w:t>
      </w:r>
      <w:r w:rsidR="00A956E9"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de </w:t>
      </w:r>
      <w:r w:rsidR="00174133" w:rsidRPr="00CA29D9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que la solicitud no es competencia de este Instituto</w:t>
      </w:r>
      <w:r w:rsidR="00A169DA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. Las facultades de investigación y expedientes administrativos están descritas en la </w:t>
      </w:r>
      <w:r w:rsidR="00BE3E14" w:rsidRPr="00BE3E14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Ley Orgánica de la Administración Pública Federal</w:t>
      </w:r>
      <w:r w:rsidR="00BE3E14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, </w:t>
      </w:r>
      <w:r w:rsidR="00BE3E14" w:rsidRPr="00BE3E14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la Ley General de Responsabilidades Administrativas</w:t>
      </w:r>
      <w:r w:rsidR="00BE3E14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 y el</w:t>
      </w:r>
      <w:r w:rsidR="00BE3E14" w:rsidRPr="00BE3E14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 xml:space="preserve"> Reglamento Interior de la Secretaría de la Función Pública</w:t>
      </w:r>
      <w:r w:rsidR="00BE3E14">
        <w:rPr>
          <w:rFonts w:ascii="Century Gothic" w:hAnsi="Century Gothic"/>
          <w:color w:val="1D2228"/>
          <w:sz w:val="22"/>
          <w:szCs w:val="22"/>
          <w:shd w:val="clear" w:color="auto" w:fill="FFFFFF"/>
          <w:lang w:val="es-MX"/>
        </w:rPr>
        <w:t>.</w:t>
      </w:r>
      <w:r w:rsidR="00BE3E14">
        <w:rPr>
          <w:rFonts w:ascii="Century Gothic" w:eastAsia="Times New Roman" w:hAnsi="Century Gothic" w:cs="Arial"/>
        </w:rPr>
        <w:t xml:space="preserve"> -----------------------------------------------------------------------------------------------------------------</w:t>
      </w:r>
    </w:p>
    <w:p w14:paraId="76E792EF" w14:textId="7FF6EAA8" w:rsidR="005D5B95" w:rsidRPr="00A169DA" w:rsidRDefault="005D5B95" w:rsidP="00A169DA">
      <w:pPr>
        <w:ind w:left="360"/>
        <w:jc w:val="both"/>
        <w:rPr>
          <w:rFonts w:ascii="Century Gothic" w:eastAsia="Times New Roman" w:hAnsi="Century Gothic" w:cs="Arial"/>
          <w:b/>
        </w:rPr>
      </w:pPr>
      <w:r w:rsidRPr="005D5B95">
        <w:rPr>
          <w:rFonts w:ascii="Century Gothic" w:eastAsia="Times New Roman" w:hAnsi="Century Gothic" w:cs="Arial"/>
          <w:b/>
        </w:rPr>
        <w:t>5.- ASUNTOS GENERALES.</w:t>
      </w:r>
    </w:p>
    <w:p w14:paraId="62E435C9" w14:textId="4BD21DA8" w:rsidR="005D5B95" w:rsidRPr="00A169DA" w:rsidRDefault="00CA29D9" w:rsidP="005D5B95">
      <w:pPr>
        <w:jc w:val="both"/>
        <w:rPr>
          <w:rFonts w:ascii="Century Gothic" w:eastAsia="Times New Roman" w:hAnsi="Century Gothic" w:cs="Arial"/>
          <w:sz w:val="22"/>
          <w:szCs w:val="22"/>
        </w:rPr>
      </w:pPr>
      <w:r>
        <w:rPr>
          <w:rFonts w:ascii="Century Gothic" w:eastAsia="Times New Roman" w:hAnsi="Century Gothic" w:cs="Arial"/>
          <w:sz w:val="22"/>
          <w:szCs w:val="22"/>
        </w:rPr>
        <w:t>El Titular de la Unidad de Transparencia informó que llegó el recurso de revisión RRA_12214/21 de la solicitud de información 1129000002821 en el cual se pedirá ampliación para poder analizar</w:t>
      </w:r>
      <w:r w:rsidR="005D5B95">
        <w:rPr>
          <w:rFonts w:ascii="Century Gothic" w:eastAsia="Times New Roman" w:hAnsi="Century Gothic" w:cs="Arial"/>
          <w:sz w:val="22"/>
          <w:szCs w:val="22"/>
        </w:rPr>
        <w:t xml:space="preserve"> la información</w:t>
      </w:r>
      <w:r>
        <w:rPr>
          <w:rFonts w:ascii="Century Gothic" w:eastAsia="Times New Roman" w:hAnsi="Century Gothic" w:cs="Arial"/>
          <w:sz w:val="22"/>
          <w:szCs w:val="22"/>
        </w:rPr>
        <w:t xml:space="preserve"> detalladamente</w:t>
      </w:r>
      <w:r w:rsidR="005D5B95">
        <w:rPr>
          <w:rFonts w:ascii="Century Gothic" w:eastAsia="Times New Roman" w:hAnsi="Century Gothic" w:cs="Arial"/>
          <w:sz w:val="22"/>
          <w:szCs w:val="22"/>
        </w:rPr>
        <w:t xml:space="preserve">. </w:t>
      </w:r>
      <w:r>
        <w:rPr>
          <w:rFonts w:ascii="Century Gothic" w:eastAsia="Times New Roman" w:hAnsi="Century Gothic" w:cs="Arial"/>
          <w:sz w:val="22"/>
          <w:szCs w:val="22"/>
        </w:rPr>
        <w:t xml:space="preserve"> </w:t>
      </w:r>
      <w:r w:rsidR="005D5B95">
        <w:rPr>
          <w:rFonts w:ascii="Century Gothic" w:eastAsia="Times New Roman" w:hAnsi="Century Gothic" w:cs="Arial"/>
          <w:sz w:val="22"/>
          <w:szCs w:val="22"/>
        </w:rPr>
        <w:t>-----</w:t>
      </w:r>
      <w:r w:rsidR="00A169DA">
        <w:rPr>
          <w:rFonts w:ascii="Century Gothic" w:eastAsia="Times New Roman" w:hAnsi="Century Gothic" w:cs="Arial"/>
          <w:sz w:val="22"/>
          <w:szCs w:val="22"/>
        </w:rPr>
        <w:t>-----------------------------------------------------------------------</w:t>
      </w:r>
    </w:p>
    <w:p w14:paraId="12B3C3FC" w14:textId="397C62AD" w:rsidR="00A71AD7" w:rsidRPr="005D5B95" w:rsidRDefault="005D5B95" w:rsidP="00C652E7">
      <w:pPr>
        <w:spacing w:after="160" w:line="259" w:lineRule="auto"/>
        <w:jc w:val="both"/>
        <w:rPr>
          <w:rFonts w:ascii="Century Gothic" w:hAnsi="Century Gothic" w:cs="Tahoma"/>
          <w:sz w:val="22"/>
          <w:szCs w:val="22"/>
        </w:rPr>
      </w:pPr>
      <w:r w:rsidRPr="005D5B95">
        <w:rPr>
          <w:rFonts w:ascii="Century Gothic" w:hAnsi="Century Gothic" w:cs="Arial"/>
          <w:sz w:val="22"/>
          <w:szCs w:val="22"/>
        </w:rPr>
        <w:t>Al no haber otro asunto que tratar, e</w:t>
      </w:r>
      <w:r w:rsidR="0075535C" w:rsidRPr="005D5B95">
        <w:rPr>
          <w:rFonts w:ascii="Century Gothic" w:hAnsi="Century Gothic" w:cs="Arial"/>
          <w:sz w:val="22"/>
          <w:szCs w:val="22"/>
        </w:rPr>
        <w:t>l presidente del Comité agradeció la asistencia de los miembros del Comité, así como los invitados presentes, y dio por terminada la reunión, siendo las 1</w:t>
      </w:r>
      <w:r w:rsidR="00B91D15" w:rsidRPr="005D5B95">
        <w:rPr>
          <w:rFonts w:ascii="Century Gothic" w:hAnsi="Century Gothic" w:cs="Arial"/>
          <w:sz w:val="22"/>
          <w:szCs w:val="22"/>
        </w:rPr>
        <w:t>1</w:t>
      </w:r>
      <w:r w:rsidR="0075535C" w:rsidRPr="005D5B95">
        <w:rPr>
          <w:rFonts w:ascii="Century Gothic" w:hAnsi="Century Gothic" w:cs="Arial"/>
          <w:sz w:val="22"/>
          <w:szCs w:val="22"/>
        </w:rPr>
        <w:t>:</w:t>
      </w:r>
      <w:r w:rsidR="00B91D15" w:rsidRPr="005D5B95">
        <w:rPr>
          <w:rFonts w:ascii="Century Gothic" w:hAnsi="Century Gothic" w:cs="Arial"/>
          <w:sz w:val="22"/>
          <w:szCs w:val="22"/>
        </w:rPr>
        <w:t>3</w:t>
      </w:r>
      <w:r w:rsidR="0075535C" w:rsidRPr="005D5B95">
        <w:rPr>
          <w:rFonts w:ascii="Century Gothic" w:hAnsi="Century Gothic" w:cs="Arial"/>
          <w:sz w:val="22"/>
          <w:szCs w:val="22"/>
        </w:rPr>
        <w:t xml:space="preserve">0 horas del día </w:t>
      </w:r>
      <w:r w:rsidRPr="005D5B95">
        <w:rPr>
          <w:rFonts w:ascii="Century Gothic" w:hAnsi="Century Gothic" w:cs="Arial"/>
          <w:sz w:val="22"/>
          <w:szCs w:val="22"/>
        </w:rPr>
        <w:t>3</w:t>
      </w:r>
      <w:r w:rsidR="0075535C" w:rsidRPr="005D5B95">
        <w:rPr>
          <w:rFonts w:ascii="Century Gothic" w:hAnsi="Century Gothic" w:cs="Arial"/>
          <w:sz w:val="22"/>
          <w:szCs w:val="22"/>
        </w:rPr>
        <w:t xml:space="preserve"> de </w:t>
      </w:r>
      <w:r w:rsidRPr="005D5B95">
        <w:rPr>
          <w:rFonts w:ascii="Century Gothic" w:hAnsi="Century Gothic" w:cs="Arial"/>
          <w:sz w:val="22"/>
          <w:szCs w:val="22"/>
        </w:rPr>
        <w:t>diciembre</w:t>
      </w:r>
      <w:r w:rsidR="0075535C" w:rsidRPr="005D5B95">
        <w:rPr>
          <w:rFonts w:ascii="Century Gothic" w:hAnsi="Century Gothic" w:cs="Arial"/>
          <w:sz w:val="22"/>
          <w:szCs w:val="22"/>
        </w:rPr>
        <w:t xml:space="preserve"> de 2021, con la firma de conformidad de los que en ella intervinieron. -----------------</w:t>
      </w:r>
      <w:r>
        <w:rPr>
          <w:rFonts w:ascii="Century Gothic" w:hAnsi="Century Gothic" w:cs="Arial"/>
          <w:sz w:val="22"/>
          <w:szCs w:val="22"/>
        </w:rPr>
        <w:t>----------------------------------------------------------------------------------------------------</w:t>
      </w:r>
    </w:p>
    <w:p w14:paraId="15725A50" w14:textId="77777777" w:rsidR="00A71AD7" w:rsidRPr="00E27FE7" w:rsidRDefault="00A71AD7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5EFF78A4" w14:textId="4040FF51" w:rsidR="00A71AD7" w:rsidRPr="00E27FE7" w:rsidRDefault="00A71AD7" w:rsidP="00BC304E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E27FE7">
        <w:rPr>
          <w:rFonts w:ascii="Century Gothic" w:hAnsi="Century Gothic" w:cs="Tahoma"/>
          <w:b/>
          <w:sz w:val="22"/>
          <w:szCs w:val="22"/>
        </w:rPr>
        <w:t>POR LOS MIEMBROS DEL COMITÉ DE TRANSPARENCIA DEL INAOE</w:t>
      </w:r>
    </w:p>
    <w:p w14:paraId="09C413A8" w14:textId="77777777" w:rsidR="00A71AD7" w:rsidRPr="00E27FE7" w:rsidRDefault="00A71AD7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4DCAA029" w14:textId="77777777" w:rsidR="00A71AD7" w:rsidRPr="00E27FE7" w:rsidRDefault="00A71AD7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716F3549" w14:textId="77777777" w:rsidR="00A71AD7" w:rsidRPr="00E27FE7" w:rsidRDefault="00A71AD7" w:rsidP="00BC304E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E27FE7">
        <w:rPr>
          <w:rFonts w:ascii="Century Gothic" w:hAnsi="Century Gothic" w:cs="Tahoma"/>
          <w:b/>
          <w:sz w:val="22"/>
          <w:szCs w:val="22"/>
        </w:rPr>
        <w:t>________________________________________</w:t>
      </w:r>
    </w:p>
    <w:p w14:paraId="525C1D0A" w14:textId="77777777" w:rsidR="00A71AD7" w:rsidRPr="00E27FE7" w:rsidRDefault="00A71AD7" w:rsidP="00304851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E27FE7">
        <w:rPr>
          <w:rFonts w:ascii="Century Gothic" w:hAnsi="Century Gothic" w:cs="Tahoma"/>
          <w:b/>
          <w:sz w:val="22"/>
          <w:szCs w:val="22"/>
        </w:rPr>
        <w:t>Lic. Miguel Ángel Barrera Márquez</w:t>
      </w:r>
    </w:p>
    <w:p w14:paraId="32D2FBA6" w14:textId="29B3FEA7" w:rsidR="00A71AD7" w:rsidRPr="00E27FE7" w:rsidRDefault="00A71AD7" w:rsidP="00304851">
      <w:pPr>
        <w:jc w:val="center"/>
        <w:rPr>
          <w:rFonts w:ascii="Century Gothic" w:hAnsi="Century Gothic" w:cs="Tahoma"/>
          <w:bCs/>
          <w:sz w:val="22"/>
          <w:szCs w:val="22"/>
        </w:rPr>
      </w:pPr>
      <w:r w:rsidRPr="00E27FE7">
        <w:rPr>
          <w:rFonts w:ascii="Century Gothic" w:hAnsi="Century Gothic" w:cs="Tahoma"/>
          <w:bCs/>
          <w:sz w:val="22"/>
          <w:szCs w:val="22"/>
        </w:rPr>
        <w:t>Director de Administración y Finanzas del INAOE</w:t>
      </w:r>
    </w:p>
    <w:p w14:paraId="630CE22C" w14:textId="4ECC4F3B" w:rsidR="00A71AD7" w:rsidRPr="00E27FE7" w:rsidRDefault="00A71AD7" w:rsidP="00304851">
      <w:pPr>
        <w:jc w:val="center"/>
        <w:rPr>
          <w:rFonts w:ascii="Century Gothic" w:hAnsi="Century Gothic" w:cs="Tahoma"/>
          <w:bCs/>
          <w:sz w:val="22"/>
          <w:szCs w:val="22"/>
        </w:rPr>
      </w:pPr>
      <w:r w:rsidRPr="00E27FE7">
        <w:rPr>
          <w:rFonts w:ascii="Century Gothic" w:hAnsi="Century Gothic" w:cs="Tahoma"/>
          <w:bCs/>
          <w:sz w:val="22"/>
          <w:szCs w:val="22"/>
        </w:rPr>
        <w:t>Titular de la Unidad de Transparencia</w:t>
      </w:r>
    </w:p>
    <w:p w14:paraId="004DAE25" w14:textId="70B130A0" w:rsidR="00A71AD7" w:rsidRPr="00E27FE7" w:rsidRDefault="00A71AD7" w:rsidP="00304851">
      <w:pPr>
        <w:jc w:val="center"/>
        <w:rPr>
          <w:rFonts w:ascii="Century Gothic" w:hAnsi="Century Gothic" w:cs="Tahoma"/>
          <w:bCs/>
          <w:sz w:val="22"/>
          <w:szCs w:val="22"/>
        </w:rPr>
      </w:pPr>
      <w:r w:rsidRPr="00E27FE7">
        <w:rPr>
          <w:rFonts w:ascii="Century Gothic" w:hAnsi="Century Gothic" w:cs="Tahoma"/>
          <w:bCs/>
          <w:sz w:val="22"/>
          <w:szCs w:val="22"/>
        </w:rPr>
        <w:t>Presidente</w:t>
      </w:r>
    </w:p>
    <w:p w14:paraId="52B74136" w14:textId="510ADC92" w:rsidR="00F714B3" w:rsidRPr="00E27FE7" w:rsidRDefault="00F714B3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70027993" w14:textId="18239E2E" w:rsidR="00A71AD7" w:rsidRPr="00E27FE7" w:rsidRDefault="00A71AD7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82"/>
      </w:tblGrid>
      <w:tr w:rsidR="00A71AD7" w:rsidRPr="00E27FE7" w14:paraId="41C330F2" w14:textId="77777777" w:rsidTr="00304851">
        <w:trPr>
          <w:jc w:val="center"/>
        </w:trPr>
        <w:tc>
          <w:tcPr>
            <w:tcW w:w="5057" w:type="dxa"/>
          </w:tcPr>
          <w:p w14:paraId="29FEED65" w14:textId="00D93EF6" w:rsidR="00A71AD7" w:rsidRPr="00E27FE7" w:rsidRDefault="00304851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bookmarkStart w:id="3" w:name="_Hlk73025786"/>
            <w:r w:rsidRPr="00E27FE7">
              <w:rPr>
                <w:rFonts w:ascii="Century Gothic" w:hAnsi="Century Gothic" w:cs="Tahoma"/>
                <w:b/>
                <w:sz w:val="22"/>
                <w:szCs w:val="22"/>
              </w:rPr>
              <w:t xml:space="preserve">  </w:t>
            </w:r>
            <w:r w:rsidR="00A71AD7" w:rsidRPr="00E27FE7">
              <w:rPr>
                <w:rFonts w:ascii="Century Gothic" w:hAnsi="Century Gothic" w:cs="Tahoma"/>
                <w:b/>
                <w:sz w:val="22"/>
                <w:szCs w:val="22"/>
              </w:rPr>
              <w:t>____________________________________</w:t>
            </w:r>
          </w:p>
          <w:p w14:paraId="33E6123C" w14:textId="58AA208A" w:rsidR="00A71AD7" w:rsidRPr="00E27FE7" w:rsidRDefault="00094DDC" w:rsidP="00094DDC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/>
                <w:sz w:val="22"/>
                <w:szCs w:val="22"/>
              </w:rPr>
              <w:t xml:space="preserve">      </w:t>
            </w:r>
            <w:r w:rsidR="00A71AD7" w:rsidRPr="00E27FE7">
              <w:rPr>
                <w:rFonts w:ascii="Century Gothic" w:hAnsi="Century Gothic" w:cs="Tahoma"/>
                <w:b/>
                <w:sz w:val="22"/>
                <w:szCs w:val="22"/>
              </w:rPr>
              <w:t>Mtro. Alejandro Serrano Núñez</w:t>
            </w:r>
          </w:p>
          <w:p w14:paraId="37BEA977" w14:textId="54CDE9E0" w:rsidR="00A71AD7" w:rsidRPr="00E27FE7" w:rsidRDefault="00094DDC" w:rsidP="00094DDC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Cs/>
                <w:sz w:val="22"/>
                <w:szCs w:val="22"/>
              </w:rPr>
              <w:t>Encargado de la Oficina de Archivos y   Oficialía de Partes.</w:t>
            </w:r>
          </w:p>
        </w:tc>
        <w:tc>
          <w:tcPr>
            <w:tcW w:w="5057" w:type="dxa"/>
          </w:tcPr>
          <w:p w14:paraId="28781E56" w14:textId="18528540" w:rsidR="00A71AD7" w:rsidRPr="00E27FE7" w:rsidRDefault="00304851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/>
                <w:sz w:val="22"/>
                <w:szCs w:val="22"/>
              </w:rPr>
              <w:t xml:space="preserve">   </w:t>
            </w:r>
            <w:r w:rsidR="00A71AD7" w:rsidRPr="00E27FE7">
              <w:rPr>
                <w:rFonts w:ascii="Century Gothic" w:hAnsi="Century Gothic" w:cs="Tahoma"/>
                <w:b/>
                <w:sz w:val="22"/>
                <w:szCs w:val="22"/>
              </w:rPr>
              <w:t>___________________________________</w:t>
            </w:r>
          </w:p>
          <w:p w14:paraId="2330967F" w14:textId="34773542" w:rsidR="00A71AD7" w:rsidRPr="00E27FE7" w:rsidRDefault="00A71AD7" w:rsidP="00304851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/>
                <w:sz w:val="22"/>
                <w:szCs w:val="22"/>
              </w:rPr>
              <w:t>Dra. María Margarita Argüelles Gómez</w:t>
            </w:r>
          </w:p>
          <w:p w14:paraId="1A0A4408" w14:textId="77777777" w:rsidR="00A71AD7" w:rsidRPr="00E27FE7" w:rsidRDefault="00A71AD7" w:rsidP="00304851">
            <w:pPr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Cs/>
                <w:sz w:val="22"/>
                <w:szCs w:val="22"/>
              </w:rPr>
              <w:t>Titular del Órgano Interno de Control</w:t>
            </w:r>
          </w:p>
          <w:p w14:paraId="16E09BBC" w14:textId="77777777" w:rsidR="00A71AD7" w:rsidRPr="00E27FE7" w:rsidRDefault="00A71AD7" w:rsidP="00304851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Cs/>
                <w:sz w:val="22"/>
                <w:szCs w:val="22"/>
              </w:rPr>
              <w:t>en el INAOE</w:t>
            </w:r>
          </w:p>
        </w:tc>
      </w:tr>
      <w:bookmarkEnd w:id="3"/>
    </w:tbl>
    <w:p w14:paraId="505EEB7F" w14:textId="77777777" w:rsidR="00A71AD7" w:rsidRPr="00E27FE7" w:rsidRDefault="00A71AD7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09F18C86" w14:textId="77777777" w:rsidR="00C652E7" w:rsidRPr="00E27FE7" w:rsidRDefault="00C652E7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68867D08" w14:textId="77777777" w:rsidR="00C652E7" w:rsidRPr="00E27FE7" w:rsidRDefault="00C652E7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42733A9D" w14:textId="71E71750" w:rsidR="00F714B3" w:rsidRPr="00E27FE7" w:rsidRDefault="00C652E7" w:rsidP="00BC304E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E27FE7">
        <w:rPr>
          <w:rFonts w:ascii="Century Gothic" w:hAnsi="Century Gothic" w:cs="Tahoma"/>
          <w:b/>
          <w:sz w:val="22"/>
          <w:szCs w:val="22"/>
        </w:rPr>
        <w:t xml:space="preserve">PERSONAS </w:t>
      </w:r>
      <w:r w:rsidR="00A71AD7" w:rsidRPr="00E27FE7">
        <w:rPr>
          <w:rFonts w:ascii="Century Gothic" w:hAnsi="Century Gothic" w:cs="Tahoma"/>
          <w:b/>
          <w:sz w:val="22"/>
          <w:szCs w:val="22"/>
        </w:rPr>
        <w:t>INVITADAS</w:t>
      </w:r>
    </w:p>
    <w:p w14:paraId="104FF0E7" w14:textId="77777777" w:rsidR="0050313A" w:rsidRPr="00E27FE7" w:rsidRDefault="0050313A" w:rsidP="00C652E7">
      <w:pPr>
        <w:jc w:val="both"/>
        <w:rPr>
          <w:rFonts w:ascii="Century Gothic" w:hAnsi="Century Gothic" w:cs="Tahom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77"/>
      </w:tblGrid>
      <w:tr w:rsidR="00C14501" w:rsidRPr="00E27FE7" w14:paraId="09B3606D" w14:textId="77777777" w:rsidTr="00692498">
        <w:tc>
          <w:tcPr>
            <w:tcW w:w="4995" w:type="dxa"/>
          </w:tcPr>
          <w:p w14:paraId="7197DB12" w14:textId="77777777" w:rsidR="00A71AD7" w:rsidRPr="00E27FE7" w:rsidRDefault="00A71AD7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/>
                <w:sz w:val="22"/>
                <w:szCs w:val="22"/>
              </w:rPr>
              <w:t>____________________________________</w:t>
            </w:r>
          </w:p>
          <w:p w14:paraId="69BC29C3" w14:textId="77777777" w:rsidR="00A71AD7" w:rsidRPr="00E27FE7" w:rsidRDefault="00A71AD7" w:rsidP="00304851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/>
                <w:sz w:val="22"/>
                <w:szCs w:val="22"/>
              </w:rPr>
              <w:t>Lic. Silvia Hernández Solís</w:t>
            </w:r>
          </w:p>
          <w:p w14:paraId="729B1127" w14:textId="77777777" w:rsidR="00A71AD7" w:rsidRPr="00E27FE7" w:rsidRDefault="00A71AD7" w:rsidP="00304851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sz w:val="22"/>
                <w:szCs w:val="22"/>
              </w:rPr>
              <w:t>Enlace de Capacitación en el INAI y</w:t>
            </w:r>
          </w:p>
          <w:p w14:paraId="41EDF3EA" w14:textId="77777777" w:rsidR="00A71AD7" w:rsidRPr="00E27FE7" w:rsidRDefault="00A71AD7" w:rsidP="00304851">
            <w:pPr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Cs/>
                <w:sz w:val="22"/>
                <w:szCs w:val="22"/>
              </w:rPr>
              <w:t>Apoyo de la Unidad de Transparencia del INAOE</w:t>
            </w:r>
          </w:p>
          <w:p w14:paraId="7B71D9E1" w14:textId="77777777" w:rsidR="00A71AD7" w:rsidRPr="00E27FE7" w:rsidRDefault="00A71AD7" w:rsidP="00304851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14:paraId="49340A8C" w14:textId="77777777" w:rsidR="00DA3E0C" w:rsidRPr="00E27FE7" w:rsidRDefault="00DA3E0C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14:paraId="60B31D77" w14:textId="59C0817A" w:rsidR="00DA3E0C" w:rsidRPr="00E27FE7" w:rsidRDefault="00DA3E0C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4977" w:type="dxa"/>
          </w:tcPr>
          <w:p w14:paraId="527E46AE" w14:textId="77777777" w:rsidR="00A71AD7" w:rsidRPr="00E27FE7" w:rsidRDefault="00A71AD7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/>
                <w:sz w:val="22"/>
                <w:szCs w:val="22"/>
              </w:rPr>
              <w:t>___________________________________</w:t>
            </w:r>
          </w:p>
          <w:p w14:paraId="516A62FE" w14:textId="77777777" w:rsidR="00A71AD7" w:rsidRPr="00E27FE7" w:rsidRDefault="00A71AD7" w:rsidP="00304851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/>
                <w:sz w:val="22"/>
                <w:szCs w:val="22"/>
              </w:rPr>
              <w:t>C. P. Delia Sánchez Sarmiento</w:t>
            </w:r>
          </w:p>
          <w:p w14:paraId="796485AF" w14:textId="77777777" w:rsidR="00A71AD7" w:rsidRPr="00E27FE7" w:rsidRDefault="00A71AD7" w:rsidP="00304851">
            <w:pPr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E27FE7">
              <w:rPr>
                <w:rFonts w:ascii="Century Gothic" w:hAnsi="Century Gothic" w:cs="Tahoma"/>
                <w:bCs/>
                <w:sz w:val="22"/>
                <w:szCs w:val="22"/>
              </w:rPr>
              <w:t>Encargada de Auditoría del Órgano Interno de Control en el INAOE</w:t>
            </w:r>
          </w:p>
          <w:p w14:paraId="63F352A4" w14:textId="77777777" w:rsidR="00A71AD7" w:rsidRPr="00E27FE7" w:rsidRDefault="00A71AD7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14:paraId="56DC9777" w14:textId="77777777" w:rsidR="00692498" w:rsidRPr="00E27FE7" w:rsidRDefault="00692498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14:paraId="20697B7E" w14:textId="08B65B63" w:rsidR="00692498" w:rsidRPr="00E27FE7" w:rsidRDefault="00692498" w:rsidP="00C652E7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</w:tbl>
    <w:p w14:paraId="15C124BE" w14:textId="15C56C7A" w:rsidR="00AF4224" w:rsidRPr="00E27FE7" w:rsidRDefault="00AF422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2A4EB812" w14:textId="56C88C93" w:rsidR="00DA3E0C" w:rsidRDefault="00DA3E0C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66C5B55F" w14:textId="49CBF2C6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302D7A09" w14:textId="5BAF7885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75AF6A91" w14:textId="65983E3A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C981329" w14:textId="1123C871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24CD418A" w14:textId="7157FE3B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57C118FD" w14:textId="25E88FFB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65E86380" w14:textId="1F3E251B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2E223D19" w14:textId="728EBC13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68D2167E" w14:textId="5EB5C7B3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7EBAF564" w14:textId="6564F596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6D2E69DC" w14:textId="28A00C1E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EFDA3A8" w14:textId="037C25D3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4CC3AF32" w14:textId="0A24FD10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480D17DE" w14:textId="39597D4F" w:rsidR="00BE3E14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39291B7D" w14:textId="77777777" w:rsidR="00BE3E14" w:rsidRPr="00E27FE7" w:rsidRDefault="00BE3E14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5CCE4B5D" w14:textId="74B40950" w:rsidR="00BC304E" w:rsidRPr="00E27FE7" w:rsidRDefault="00A71AD7" w:rsidP="00C652E7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  <w:r w:rsidRPr="00E27FE7">
        <w:rPr>
          <w:rFonts w:ascii="Century Gothic" w:hAnsi="Century Gothic" w:cs="Tahoma"/>
          <w:i/>
          <w:sz w:val="22"/>
          <w:szCs w:val="22"/>
        </w:rPr>
        <w:t xml:space="preserve">Última hoja del acta de la </w:t>
      </w:r>
      <w:r w:rsidR="00094DDC" w:rsidRPr="00E27FE7">
        <w:rPr>
          <w:rFonts w:ascii="Century Gothic" w:hAnsi="Century Gothic" w:cs="Tahoma"/>
          <w:i/>
          <w:sz w:val="22"/>
          <w:szCs w:val="22"/>
        </w:rPr>
        <w:t>Cuarta</w:t>
      </w:r>
      <w:r w:rsidRPr="00E27FE7">
        <w:rPr>
          <w:rFonts w:ascii="Century Gothic" w:hAnsi="Century Gothic" w:cs="Tahoma"/>
          <w:i/>
          <w:sz w:val="22"/>
          <w:szCs w:val="22"/>
        </w:rPr>
        <w:t xml:space="preserve"> Sesión </w:t>
      </w:r>
      <w:r w:rsidR="00094DDC" w:rsidRPr="00E27FE7">
        <w:rPr>
          <w:rFonts w:ascii="Century Gothic" w:hAnsi="Century Gothic" w:cs="Tahoma"/>
          <w:i/>
          <w:sz w:val="22"/>
          <w:szCs w:val="22"/>
        </w:rPr>
        <w:t>O</w:t>
      </w:r>
      <w:r w:rsidR="00E51EC9" w:rsidRPr="00E27FE7">
        <w:rPr>
          <w:rFonts w:ascii="Century Gothic" w:hAnsi="Century Gothic" w:cs="Tahoma"/>
          <w:i/>
          <w:sz w:val="22"/>
          <w:szCs w:val="22"/>
        </w:rPr>
        <w:t>rdinaria</w:t>
      </w:r>
      <w:r w:rsidR="00F14B6C" w:rsidRPr="00E27FE7">
        <w:rPr>
          <w:rFonts w:ascii="Century Gothic" w:hAnsi="Century Gothic" w:cs="Tahoma"/>
          <w:i/>
          <w:sz w:val="22"/>
          <w:szCs w:val="22"/>
        </w:rPr>
        <w:t xml:space="preserve"> de 2021</w:t>
      </w:r>
      <w:r w:rsidRPr="00E27FE7">
        <w:rPr>
          <w:rFonts w:ascii="Century Gothic" w:hAnsi="Century Gothic" w:cs="Tahoma"/>
          <w:i/>
          <w:sz w:val="22"/>
          <w:szCs w:val="22"/>
        </w:rPr>
        <w:t xml:space="preserve"> del Comité de Transparencia del Instituto Nacional Astrofísica, Óptica y Electrónica (INAOE), celebrada el </w:t>
      </w:r>
      <w:r w:rsidR="00094DDC" w:rsidRPr="00E27FE7">
        <w:rPr>
          <w:rFonts w:ascii="Century Gothic" w:hAnsi="Century Gothic" w:cs="Tahoma"/>
          <w:i/>
          <w:sz w:val="22"/>
          <w:szCs w:val="22"/>
        </w:rPr>
        <w:t>3</w:t>
      </w:r>
      <w:r w:rsidR="009A202C" w:rsidRPr="00E27FE7">
        <w:rPr>
          <w:rFonts w:ascii="Century Gothic" w:hAnsi="Century Gothic" w:cs="Tahoma"/>
          <w:i/>
          <w:sz w:val="22"/>
          <w:szCs w:val="22"/>
        </w:rPr>
        <w:t xml:space="preserve"> de </w:t>
      </w:r>
      <w:r w:rsidR="00094DDC" w:rsidRPr="00E27FE7">
        <w:rPr>
          <w:rFonts w:ascii="Century Gothic" w:hAnsi="Century Gothic" w:cs="Tahoma"/>
          <w:i/>
          <w:sz w:val="22"/>
          <w:szCs w:val="22"/>
        </w:rPr>
        <w:t>diciembre</w:t>
      </w:r>
      <w:r w:rsidR="009A202C" w:rsidRPr="00E27FE7">
        <w:rPr>
          <w:rFonts w:ascii="Century Gothic" w:hAnsi="Century Gothic" w:cs="Tahoma"/>
          <w:i/>
          <w:sz w:val="22"/>
          <w:szCs w:val="22"/>
        </w:rPr>
        <w:t xml:space="preserve"> de 2021</w:t>
      </w:r>
      <w:r w:rsidRPr="00E27FE7">
        <w:rPr>
          <w:rFonts w:ascii="Century Gothic" w:hAnsi="Century Gothic" w:cs="Tahoma"/>
          <w:i/>
          <w:sz w:val="22"/>
          <w:szCs w:val="22"/>
        </w:rPr>
        <w:t xml:space="preserve"> en Santa María Tonantzintla, San Andrés Cholula, </w:t>
      </w:r>
      <w:r w:rsidR="00DB41A4" w:rsidRPr="00E27FE7">
        <w:rPr>
          <w:rFonts w:ascii="Century Gothic" w:hAnsi="Century Gothic" w:cs="Tahoma"/>
          <w:i/>
          <w:sz w:val="22"/>
          <w:szCs w:val="22"/>
        </w:rPr>
        <w:t>Puebla. --------------------------------------------</w:t>
      </w:r>
    </w:p>
    <w:sectPr w:rsidR="00BC304E" w:rsidRPr="00E27FE7" w:rsidSect="00BB5E98">
      <w:headerReference w:type="default" r:id="rId13"/>
      <w:footerReference w:type="default" r:id="rId14"/>
      <w:pgSz w:w="12240" w:h="15840"/>
      <w:pgMar w:top="226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A798" w14:textId="77777777" w:rsidR="00E2556E" w:rsidRDefault="00E2556E" w:rsidP="005C6F62">
      <w:r>
        <w:separator/>
      </w:r>
    </w:p>
  </w:endnote>
  <w:endnote w:type="continuationSeparator" w:id="0">
    <w:p w14:paraId="252BA8FC" w14:textId="77777777" w:rsidR="00E2556E" w:rsidRDefault="00E2556E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44E1" w14:textId="320607D9" w:rsidR="001A4188" w:rsidRPr="002F6065" w:rsidRDefault="001A4188">
    <w:pPr>
      <w:pStyle w:val="Piedepgina"/>
      <w:jc w:val="center"/>
      <w:rPr>
        <w:color w:val="244061" w:themeColor="accent1" w:themeShade="80"/>
      </w:rPr>
    </w:pPr>
    <w:r w:rsidRPr="002F6065">
      <w:rPr>
        <w:color w:val="244061" w:themeColor="accent1" w:themeShade="80"/>
        <w:lang w:val="es-ES"/>
      </w:rPr>
      <w:t xml:space="preserve">Página </w:t>
    </w:r>
    <w:r w:rsidRPr="002F6065">
      <w:rPr>
        <w:color w:val="244061" w:themeColor="accent1" w:themeShade="80"/>
      </w:rPr>
      <w:fldChar w:fldCharType="begin"/>
    </w:r>
    <w:r w:rsidRPr="002F6065">
      <w:rPr>
        <w:color w:val="244061" w:themeColor="accent1" w:themeShade="80"/>
      </w:rPr>
      <w:instrText>PAGE  \* Arabic  \* MERGEFORMAT</w:instrText>
    </w:r>
    <w:r w:rsidRPr="002F6065">
      <w:rPr>
        <w:color w:val="244061" w:themeColor="accent1" w:themeShade="80"/>
      </w:rPr>
      <w:fldChar w:fldCharType="separate"/>
    </w:r>
    <w:r w:rsidR="003134BE" w:rsidRPr="003134BE">
      <w:rPr>
        <w:noProof/>
        <w:color w:val="244061" w:themeColor="accent1" w:themeShade="80"/>
        <w:lang w:val="es-ES"/>
      </w:rPr>
      <w:t>1</w:t>
    </w:r>
    <w:r w:rsidRPr="002F6065">
      <w:rPr>
        <w:color w:val="244061" w:themeColor="accent1" w:themeShade="80"/>
      </w:rPr>
      <w:fldChar w:fldCharType="end"/>
    </w:r>
    <w:r w:rsidRPr="002F6065">
      <w:rPr>
        <w:color w:val="244061" w:themeColor="accent1" w:themeShade="80"/>
        <w:lang w:val="es-ES"/>
      </w:rPr>
      <w:t xml:space="preserve"> de </w:t>
    </w:r>
    <w:r w:rsidRPr="002F6065">
      <w:rPr>
        <w:color w:val="244061" w:themeColor="accent1" w:themeShade="80"/>
      </w:rPr>
      <w:fldChar w:fldCharType="begin"/>
    </w:r>
    <w:r w:rsidRPr="002F6065">
      <w:rPr>
        <w:color w:val="244061" w:themeColor="accent1" w:themeShade="80"/>
      </w:rPr>
      <w:instrText>NUMPAGES  \* Arabic  \* MERGEFORMAT</w:instrText>
    </w:r>
    <w:r w:rsidRPr="002F6065">
      <w:rPr>
        <w:color w:val="244061" w:themeColor="accent1" w:themeShade="80"/>
      </w:rPr>
      <w:fldChar w:fldCharType="separate"/>
    </w:r>
    <w:r w:rsidR="003134BE" w:rsidRPr="003134BE">
      <w:rPr>
        <w:noProof/>
        <w:color w:val="244061" w:themeColor="accent1" w:themeShade="80"/>
        <w:lang w:val="es-ES"/>
      </w:rPr>
      <w:t>3</w:t>
    </w:r>
    <w:r w:rsidRPr="002F6065">
      <w:rPr>
        <w:color w:val="244061" w:themeColor="accent1" w:themeShade="80"/>
      </w:rPr>
      <w:fldChar w:fldCharType="end"/>
    </w:r>
  </w:p>
  <w:p w14:paraId="7BA5B1FA" w14:textId="77777777" w:rsidR="004750FA" w:rsidRDefault="00475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60BE" w14:textId="77777777" w:rsidR="00E2556E" w:rsidRDefault="00E2556E" w:rsidP="005C6F62">
      <w:r>
        <w:separator/>
      </w:r>
    </w:p>
  </w:footnote>
  <w:footnote w:type="continuationSeparator" w:id="0">
    <w:p w14:paraId="560D9656" w14:textId="77777777" w:rsidR="00E2556E" w:rsidRDefault="00E2556E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A60E" w14:textId="1C673A25" w:rsidR="00BB5E98" w:rsidRDefault="00FD4664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A9058D9" wp14:editId="6EAD54F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793225" cy="10085350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AD7">
      <w:rPr>
        <w:rFonts w:ascii="Arial" w:hAnsi="Arial" w:cs="Arial"/>
        <w:b/>
      </w:rPr>
      <w:tab/>
    </w:r>
  </w:p>
  <w:p w14:paraId="4DF4E249" w14:textId="008278C7" w:rsidR="00BB5E98" w:rsidRDefault="00BB5E98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286028DC" w14:textId="77777777" w:rsidR="00BB5E98" w:rsidRDefault="00BB5E98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1A10E121" w14:textId="1499714E" w:rsidR="00BB5E98" w:rsidRDefault="00BB5E98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5D9C674B" w14:textId="54339DA8" w:rsidR="00BB5E98" w:rsidRDefault="00BB5E98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5B342812" w14:textId="7AF225E8" w:rsidR="00BB5E98" w:rsidRDefault="00BB5E98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36A540A6" w14:textId="7CADF472" w:rsidR="00BB5E98" w:rsidRDefault="00BB5E98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3887B8F1" w14:textId="49CED562" w:rsidR="00BB5E98" w:rsidRDefault="00BB5E98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1EDCF6A8" w14:textId="77777777" w:rsidR="00BB5E98" w:rsidRDefault="00BB5E98" w:rsidP="00BB5E98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5CABA5A3" w14:textId="47C1498F" w:rsidR="00BB5E98" w:rsidRPr="00833D72" w:rsidRDefault="00BB5E98" w:rsidP="00BB5E98">
    <w:pPr>
      <w:tabs>
        <w:tab w:val="left" w:pos="9214"/>
      </w:tabs>
      <w:ind w:left="567" w:right="476"/>
      <w:jc w:val="center"/>
      <w:rPr>
        <w:rFonts w:ascii="Century Gothic" w:hAnsi="Century Gothic" w:cs="Arial"/>
        <w:b/>
        <w:sz w:val="22"/>
        <w:szCs w:val="22"/>
      </w:rPr>
    </w:pPr>
    <w:r w:rsidRPr="00833D72">
      <w:rPr>
        <w:rFonts w:ascii="Century Gothic" w:hAnsi="Century Gothic" w:cs="Arial"/>
        <w:b/>
        <w:sz w:val="22"/>
        <w:szCs w:val="22"/>
      </w:rPr>
      <w:t xml:space="preserve">ACTA DE LA </w:t>
    </w:r>
    <w:r w:rsidR="005A640B">
      <w:rPr>
        <w:rFonts w:ascii="Century Gothic" w:hAnsi="Century Gothic" w:cs="Arial"/>
        <w:b/>
        <w:sz w:val="22"/>
        <w:szCs w:val="22"/>
      </w:rPr>
      <w:t>CUARTA</w:t>
    </w:r>
    <w:r w:rsidRPr="00833D72">
      <w:rPr>
        <w:rFonts w:ascii="Century Gothic" w:hAnsi="Century Gothic" w:cs="Arial"/>
        <w:b/>
        <w:sz w:val="22"/>
        <w:szCs w:val="22"/>
      </w:rPr>
      <w:t xml:space="preserve"> SESIÓN ORDINARIA DE 2021 </w:t>
    </w:r>
  </w:p>
  <w:p w14:paraId="3FFE3E33" w14:textId="77777777" w:rsidR="00BB5E98" w:rsidRPr="00833D72" w:rsidRDefault="00BB5E98" w:rsidP="00BB5E98">
    <w:pPr>
      <w:tabs>
        <w:tab w:val="left" w:pos="9214"/>
      </w:tabs>
      <w:ind w:left="567" w:right="476"/>
      <w:jc w:val="center"/>
      <w:rPr>
        <w:rFonts w:ascii="Century Gothic" w:hAnsi="Century Gothic" w:cs="Arial"/>
        <w:b/>
        <w:sz w:val="22"/>
        <w:szCs w:val="22"/>
      </w:rPr>
    </w:pPr>
    <w:r w:rsidRPr="00833D72">
      <w:rPr>
        <w:rFonts w:ascii="Century Gothic" w:hAnsi="Century Gothic" w:cs="Arial"/>
        <w:b/>
        <w:sz w:val="22"/>
        <w:szCs w:val="22"/>
      </w:rPr>
      <w:t>DEL COMITÉ DE TRANSPARENCIA DEL INSTITUTO NACIONAL DE ASTROFÍSICA, ÓPTICA Y ELECTRÓNICA (INAOE)</w:t>
    </w:r>
  </w:p>
  <w:p w14:paraId="17A4F828" w14:textId="77777777" w:rsidR="00BB5E98" w:rsidRPr="00833D72" w:rsidRDefault="00BB5E98" w:rsidP="00BB5E98">
    <w:pPr>
      <w:ind w:left="1843" w:right="476"/>
      <w:jc w:val="center"/>
      <w:rPr>
        <w:rFonts w:ascii="Century Gothic" w:hAnsi="Century Gothic" w:cs="Arial"/>
        <w:b/>
        <w:sz w:val="22"/>
        <w:szCs w:val="22"/>
      </w:rPr>
    </w:pPr>
  </w:p>
  <w:p w14:paraId="2ED0D0E7" w14:textId="4A4B2576" w:rsidR="00BB5E98" w:rsidRPr="00833D72" w:rsidRDefault="00DC620E" w:rsidP="00BB5E98">
    <w:pPr>
      <w:ind w:left="1843" w:right="476"/>
      <w:jc w:val="right"/>
      <w:rPr>
        <w:rFonts w:ascii="Century Gothic" w:hAnsi="Century Gothic" w:cs="Arial"/>
        <w:b/>
        <w:sz w:val="22"/>
        <w:szCs w:val="22"/>
      </w:rPr>
    </w:pPr>
    <w:r>
      <w:rPr>
        <w:rFonts w:ascii="Century Gothic" w:hAnsi="Century Gothic" w:cs="Arial"/>
        <w:b/>
        <w:sz w:val="22"/>
        <w:szCs w:val="22"/>
      </w:rPr>
      <w:t>REF: ACTA CT/INAOE/</w:t>
    </w:r>
    <w:r w:rsidR="005A640B">
      <w:rPr>
        <w:rFonts w:ascii="Century Gothic" w:hAnsi="Century Gothic" w:cs="Arial"/>
        <w:b/>
        <w:sz w:val="22"/>
        <w:szCs w:val="22"/>
      </w:rPr>
      <w:t>4O</w:t>
    </w:r>
    <w:r w:rsidR="00BB5E98" w:rsidRPr="00833D72">
      <w:rPr>
        <w:rFonts w:ascii="Century Gothic" w:hAnsi="Century Gothic" w:cs="Arial"/>
        <w:b/>
        <w:sz w:val="22"/>
        <w:szCs w:val="22"/>
      </w:rPr>
      <w:t>/2021</w:t>
    </w:r>
  </w:p>
  <w:p w14:paraId="766F2995" w14:textId="3C439E2B" w:rsidR="005C6F62" w:rsidRPr="00FD4664" w:rsidRDefault="005C6F62" w:rsidP="00A71AD7">
    <w:pPr>
      <w:tabs>
        <w:tab w:val="left" w:pos="930"/>
      </w:tabs>
      <w:ind w:right="476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07AE56"/>
    <w:multiLevelType w:val="hybridMultilevel"/>
    <w:tmpl w:val="25DA1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9476E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56A25"/>
    <w:multiLevelType w:val="hybridMultilevel"/>
    <w:tmpl w:val="AD60A63A"/>
    <w:lvl w:ilvl="0" w:tplc="402889BA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3252"/>
    <w:multiLevelType w:val="hybridMultilevel"/>
    <w:tmpl w:val="85BE7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90261"/>
    <w:multiLevelType w:val="hybridMultilevel"/>
    <w:tmpl w:val="063EC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007F"/>
    <w:multiLevelType w:val="hybridMultilevel"/>
    <w:tmpl w:val="59F30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AB7200"/>
    <w:multiLevelType w:val="hybridMultilevel"/>
    <w:tmpl w:val="E80CA198"/>
    <w:lvl w:ilvl="0" w:tplc="6AE2D0E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752C"/>
    <w:multiLevelType w:val="hybridMultilevel"/>
    <w:tmpl w:val="BC8250CC"/>
    <w:lvl w:ilvl="0" w:tplc="B84A7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34DCC"/>
    <w:multiLevelType w:val="hybridMultilevel"/>
    <w:tmpl w:val="8746F190"/>
    <w:lvl w:ilvl="0" w:tplc="A058ED3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B6F5B"/>
    <w:multiLevelType w:val="hybridMultilevel"/>
    <w:tmpl w:val="975C1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F643A"/>
    <w:multiLevelType w:val="hybridMultilevel"/>
    <w:tmpl w:val="76F4F1DC"/>
    <w:lvl w:ilvl="0" w:tplc="3230D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6C1"/>
    <w:multiLevelType w:val="hybridMultilevel"/>
    <w:tmpl w:val="5B6A8240"/>
    <w:lvl w:ilvl="0" w:tplc="580A0013">
      <w:start w:val="1"/>
      <w:numFmt w:val="upperRoman"/>
      <w:lvlText w:val="%1."/>
      <w:lvlJc w:val="righ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34A8F"/>
    <w:multiLevelType w:val="hybridMultilevel"/>
    <w:tmpl w:val="4148F722"/>
    <w:lvl w:ilvl="0" w:tplc="580A0013">
      <w:start w:val="1"/>
      <w:numFmt w:val="upperRoman"/>
      <w:lvlText w:val="%1."/>
      <w:lvlJc w:val="righ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29A0"/>
    <w:rsid w:val="00006ADD"/>
    <w:rsid w:val="00025851"/>
    <w:rsid w:val="0002780E"/>
    <w:rsid w:val="000356A5"/>
    <w:rsid w:val="00037E53"/>
    <w:rsid w:val="00072684"/>
    <w:rsid w:val="00073176"/>
    <w:rsid w:val="00075990"/>
    <w:rsid w:val="00084A05"/>
    <w:rsid w:val="00090DDE"/>
    <w:rsid w:val="00090FBD"/>
    <w:rsid w:val="00094DDC"/>
    <w:rsid w:val="00095CD6"/>
    <w:rsid w:val="00096461"/>
    <w:rsid w:val="000A51BF"/>
    <w:rsid w:val="000B4D56"/>
    <w:rsid w:val="000D30FF"/>
    <w:rsid w:val="000E0BBA"/>
    <w:rsid w:val="000E7C7B"/>
    <w:rsid w:val="000F1175"/>
    <w:rsid w:val="000F75EF"/>
    <w:rsid w:val="0010231F"/>
    <w:rsid w:val="001149BA"/>
    <w:rsid w:val="00123C0B"/>
    <w:rsid w:val="001406FE"/>
    <w:rsid w:val="00147305"/>
    <w:rsid w:val="00174133"/>
    <w:rsid w:val="00174C74"/>
    <w:rsid w:val="0018280B"/>
    <w:rsid w:val="001866E6"/>
    <w:rsid w:val="001927D9"/>
    <w:rsid w:val="001A4188"/>
    <w:rsid w:val="001A7E98"/>
    <w:rsid w:val="001B204D"/>
    <w:rsid w:val="001B2CC8"/>
    <w:rsid w:val="001B4A51"/>
    <w:rsid w:val="001B6FBB"/>
    <w:rsid w:val="001C2160"/>
    <w:rsid w:val="001D02CF"/>
    <w:rsid w:val="001D0FC5"/>
    <w:rsid w:val="001E0A72"/>
    <w:rsid w:val="001E45AF"/>
    <w:rsid w:val="001E71F9"/>
    <w:rsid w:val="002038B4"/>
    <w:rsid w:val="00210633"/>
    <w:rsid w:val="0022245D"/>
    <w:rsid w:val="00233BA3"/>
    <w:rsid w:val="002369E4"/>
    <w:rsid w:val="0025145C"/>
    <w:rsid w:val="00263049"/>
    <w:rsid w:val="0026363C"/>
    <w:rsid w:val="002708FE"/>
    <w:rsid w:val="002765CF"/>
    <w:rsid w:val="002802AA"/>
    <w:rsid w:val="0028636D"/>
    <w:rsid w:val="00286A08"/>
    <w:rsid w:val="00287B0D"/>
    <w:rsid w:val="00292DE5"/>
    <w:rsid w:val="002934DC"/>
    <w:rsid w:val="00296B9D"/>
    <w:rsid w:val="00296BE3"/>
    <w:rsid w:val="002A5AD3"/>
    <w:rsid w:val="002B27C6"/>
    <w:rsid w:val="002B68CC"/>
    <w:rsid w:val="002B6B3A"/>
    <w:rsid w:val="002C668F"/>
    <w:rsid w:val="002D2C06"/>
    <w:rsid w:val="002D4D24"/>
    <w:rsid w:val="002F399A"/>
    <w:rsid w:val="002F6065"/>
    <w:rsid w:val="00304851"/>
    <w:rsid w:val="003063F4"/>
    <w:rsid w:val="0030655F"/>
    <w:rsid w:val="003067D8"/>
    <w:rsid w:val="003103FC"/>
    <w:rsid w:val="00311AFE"/>
    <w:rsid w:val="003134BE"/>
    <w:rsid w:val="00314BA9"/>
    <w:rsid w:val="0033269A"/>
    <w:rsid w:val="003339D5"/>
    <w:rsid w:val="003359D1"/>
    <w:rsid w:val="003424B4"/>
    <w:rsid w:val="00344375"/>
    <w:rsid w:val="003503AD"/>
    <w:rsid w:val="003611A9"/>
    <w:rsid w:val="003654B7"/>
    <w:rsid w:val="00365C21"/>
    <w:rsid w:val="00374185"/>
    <w:rsid w:val="003802A8"/>
    <w:rsid w:val="00384E18"/>
    <w:rsid w:val="0038722F"/>
    <w:rsid w:val="00387E55"/>
    <w:rsid w:val="0039228F"/>
    <w:rsid w:val="00392A4E"/>
    <w:rsid w:val="00396952"/>
    <w:rsid w:val="003A21AF"/>
    <w:rsid w:val="003A2206"/>
    <w:rsid w:val="003B277E"/>
    <w:rsid w:val="003B2C80"/>
    <w:rsid w:val="003B34A7"/>
    <w:rsid w:val="003B68FB"/>
    <w:rsid w:val="003C20A8"/>
    <w:rsid w:val="003C3F5F"/>
    <w:rsid w:val="003C6F97"/>
    <w:rsid w:val="003C7428"/>
    <w:rsid w:val="003D2420"/>
    <w:rsid w:val="003D7943"/>
    <w:rsid w:val="003E2B98"/>
    <w:rsid w:val="003E2EF6"/>
    <w:rsid w:val="003F2A9B"/>
    <w:rsid w:val="003F4024"/>
    <w:rsid w:val="004217B0"/>
    <w:rsid w:val="004337EF"/>
    <w:rsid w:val="00450386"/>
    <w:rsid w:val="004618A1"/>
    <w:rsid w:val="004636CF"/>
    <w:rsid w:val="00466158"/>
    <w:rsid w:val="004750FA"/>
    <w:rsid w:val="00476056"/>
    <w:rsid w:val="004816BB"/>
    <w:rsid w:val="0048201C"/>
    <w:rsid w:val="00487FC8"/>
    <w:rsid w:val="004930DD"/>
    <w:rsid w:val="00496EE1"/>
    <w:rsid w:val="004A092C"/>
    <w:rsid w:val="004A4323"/>
    <w:rsid w:val="004A6F6B"/>
    <w:rsid w:val="004B4814"/>
    <w:rsid w:val="004B6182"/>
    <w:rsid w:val="004C3BD6"/>
    <w:rsid w:val="004C64FF"/>
    <w:rsid w:val="004D34E4"/>
    <w:rsid w:val="004E0CD2"/>
    <w:rsid w:val="004F2F77"/>
    <w:rsid w:val="004F4B1E"/>
    <w:rsid w:val="004F57F6"/>
    <w:rsid w:val="0050313A"/>
    <w:rsid w:val="00504D28"/>
    <w:rsid w:val="00507652"/>
    <w:rsid w:val="005125E0"/>
    <w:rsid w:val="0052671D"/>
    <w:rsid w:val="00533BDC"/>
    <w:rsid w:val="00543846"/>
    <w:rsid w:val="00550E46"/>
    <w:rsid w:val="005513C6"/>
    <w:rsid w:val="00563455"/>
    <w:rsid w:val="00571371"/>
    <w:rsid w:val="00584A0F"/>
    <w:rsid w:val="00587A60"/>
    <w:rsid w:val="005935DE"/>
    <w:rsid w:val="00594E88"/>
    <w:rsid w:val="005A31F3"/>
    <w:rsid w:val="005A637C"/>
    <w:rsid w:val="005A640B"/>
    <w:rsid w:val="005C407F"/>
    <w:rsid w:val="005C47D3"/>
    <w:rsid w:val="005C6F62"/>
    <w:rsid w:val="005D00EA"/>
    <w:rsid w:val="005D5B95"/>
    <w:rsid w:val="005E5FAC"/>
    <w:rsid w:val="005F154A"/>
    <w:rsid w:val="005F64ED"/>
    <w:rsid w:val="00605D23"/>
    <w:rsid w:val="00617BDF"/>
    <w:rsid w:val="00621622"/>
    <w:rsid w:val="00630847"/>
    <w:rsid w:val="00644784"/>
    <w:rsid w:val="00650A03"/>
    <w:rsid w:val="006553F2"/>
    <w:rsid w:val="006646F0"/>
    <w:rsid w:val="006702F5"/>
    <w:rsid w:val="00673B76"/>
    <w:rsid w:val="00677648"/>
    <w:rsid w:val="00683DA4"/>
    <w:rsid w:val="00685CE9"/>
    <w:rsid w:val="00692498"/>
    <w:rsid w:val="0069291B"/>
    <w:rsid w:val="006968EB"/>
    <w:rsid w:val="006A0EC2"/>
    <w:rsid w:val="006A74F1"/>
    <w:rsid w:val="006B3BA5"/>
    <w:rsid w:val="006B43D0"/>
    <w:rsid w:val="006C4C31"/>
    <w:rsid w:val="006C4F9D"/>
    <w:rsid w:val="006D0505"/>
    <w:rsid w:val="006D3D47"/>
    <w:rsid w:val="006D68C7"/>
    <w:rsid w:val="006E1532"/>
    <w:rsid w:val="006E3E2D"/>
    <w:rsid w:val="006F279D"/>
    <w:rsid w:val="006F39E5"/>
    <w:rsid w:val="006F643C"/>
    <w:rsid w:val="00700B3D"/>
    <w:rsid w:val="00705972"/>
    <w:rsid w:val="007165BC"/>
    <w:rsid w:val="00716742"/>
    <w:rsid w:val="00723753"/>
    <w:rsid w:val="00724F36"/>
    <w:rsid w:val="00743274"/>
    <w:rsid w:val="0075260D"/>
    <w:rsid w:val="007537A2"/>
    <w:rsid w:val="0075535C"/>
    <w:rsid w:val="00756184"/>
    <w:rsid w:val="007829C7"/>
    <w:rsid w:val="00784358"/>
    <w:rsid w:val="007902DE"/>
    <w:rsid w:val="00790C92"/>
    <w:rsid w:val="00794997"/>
    <w:rsid w:val="007A400E"/>
    <w:rsid w:val="007D5053"/>
    <w:rsid w:val="007E096C"/>
    <w:rsid w:val="007F1096"/>
    <w:rsid w:val="007F76BA"/>
    <w:rsid w:val="00802D4A"/>
    <w:rsid w:val="00805376"/>
    <w:rsid w:val="00812055"/>
    <w:rsid w:val="00833D72"/>
    <w:rsid w:val="00835E65"/>
    <w:rsid w:val="00841878"/>
    <w:rsid w:val="0084377C"/>
    <w:rsid w:val="0086599B"/>
    <w:rsid w:val="008664E0"/>
    <w:rsid w:val="00870BD1"/>
    <w:rsid w:val="0088057E"/>
    <w:rsid w:val="00897B57"/>
    <w:rsid w:val="008A1D3D"/>
    <w:rsid w:val="008C70A5"/>
    <w:rsid w:val="008D1B11"/>
    <w:rsid w:val="008D7B14"/>
    <w:rsid w:val="008E29B3"/>
    <w:rsid w:val="008F054B"/>
    <w:rsid w:val="008F43F5"/>
    <w:rsid w:val="0090066B"/>
    <w:rsid w:val="009017E4"/>
    <w:rsid w:val="00906022"/>
    <w:rsid w:val="00913714"/>
    <w:rsid w:val="009211D5"/>
    <w:rsid w:val="00925F11"/>
    <w:rsid w:val="0092612A"/>
    <w:rsid w:val="0092620F"/>
    <w:rsid w:val="009416AF"/>
    <w:rsid w:val="0097446F"/>
    <w:rsid w:val="00984FF4"/>
    <w:rsid w:val="009947F3"/>
    <w:rsid w:val="009A202C"/>
    <w:rsid w:val="009A4FFD"/>
    <w:rsid w:val="009B2E2C"/>
    <w:rsid w:val="009B5767"/>
    <w:rsid w:val="009C3F7A"/>
    <w:rsid w:val="009D04E1"/>
    <w:rsid w:val="009D103C"/>
    <w:rsid w:val="009D3C3F"/>
    <w:rsid w:val="009E1A63"/>
    <w:rsid w:val="009E78E8"/>
    <w:rsid w:val="009F02A3"/>
    <w:rsid w:val="009F335A"/>
    <w:rsid w:val="009F4EF7"/>
    <w:rsid w:val="00A00D9E"/>
    <w:rsid w:val="00A169DA"/>
    <w:rsid w:val="00A2074D"/>
    <w:rsid w:val="00A316DF"/>
    <w:rsid w:val="00A32DC5"/>
    <w:rsid w:val="00A418F4"/>
    <w:rsid w:val="00A50F03"/>
    <w:rsid w:val="00A5400B"/>
    <w:rsid w:val="00A67A92"/>
    <w:rsid w:val="00A71AD7"/>
    <w:rsid w:val="00A752B1"/>
    <w:rsid w:val="00A80786"/>
    <w:rsid w:val="00A913A6"/>
    <w:rsid w:val="00A956E9"/>
    <w:rsid w:val="00AC208E"/>
    <w:rsid w:val="00AC5E6F"/>
    <w:rsid w:val="00AD2CCB"/>
    <w:rsid w:val="00AD4E15"/>
    <w:rsid w:val="00AD5DD5"/>
    <w:rsid w:val="00AE053B"/>
    <w:rsid w:val="00AF4224"/>
    <w:rsid w:val="00AF509B"/>
    <w:rsid w:val="00AF73BE"/>
    <w:rsid w:val="00AF7F44"/>
    <w:rsid w:val="00B03627"/>
    <w:rsid w:val="00B060B7"/>
    <w:rsid w:val="00B123B0"/>
    <w:rsid w:val="00B16560"/>
    <w:rsid w:val="00B171C2"/>
    <w:rsid w:val="00B22F1C"/>
    <w:rsid w:val="00B43B73"/>
    <w:rsid w:val="00B60555"/>
    <w:rsid w:val="00B642EA"/>
    <w:rsid w:val="00B646A1"/>
    <w:rsid w:val="00B67435"/>
    <w:rsid w:val="00B71039"/>
    <w:rsid w:val="00B71927"/>
    <w:rsid w:val="00B82167"/>
    <w:rsid w:val="00B8311D"/>
    <w:rsid w:val="00B91D15"/>
    <w:rsid w:val="00B91DAF"/>
    <w:rsid w:val="00B956FC"/>
    <w:rsid w:val="00BA2C10"/>
    <w:rsid w:val="00BA4D2A"/>
    <w:rsid w:val="00BB5E98"/>
    <w:rsid w:val="00BC0231"/>
    <w:rsid w:val="00BC2A7B"/>
    <w:rsid w:val="00BC304E"/>
    <w:rsid w:val="00BC5DEB"/>
    <w:rsid w:val="00BC7DA9"/>
    <w:rsid w:val="00BD2495"/>
    <w:rsid w:val="00BE3E14"/>
    <w:rsid w:val="00BF1AE9"/>
    <w:rsid w:val="00C02BD0"/>
    <w:rsid w:val="00C14501"/>
    <w:rsid w:val="00C20FBE"/>
    <w:rsid w:val="00C23CD3"/>
    <w:rsid w:val="00C24354"/>
    <w:rsid w:val="00C25A94"/>
    <w:rsid w:val="00C25D31"/>
    <w:rsid w:val="00C27DA3"/>
    <w:rsid w:val="00C35E9E"/>
    <w:rsid w:val="00C44B55"/>
    <w:rsid w:val="00C50142"/>
    <w:rsid w:val="00C553A4"/>
    <w:rsid w:val="00C6503C"/>
    <w:rsid w:val="00C652E7"/>
    <w:rsid w:val="00C7218B"/>
    <w:rsid w:val="00C768E1"/>
    <w:rsid w:val="00C806D8"/>
    <w:rsid w:val="00C826A2"/>
    <w:rsid w:val="00C82FCD"/>
    <w:rsid w:val="00C83E34"/>
    <w:rsid w:val="00C840CD"/>
    <w:rsid w:val="00C90F2E"/>
    <w:rsid w:val="00C96704"/>
    <w:rsid w:val="00CA29D9"/>
    <w:rsid w:val="00CA5C49"/>
    <w:rsid w:val="00CA6512"/>
    <w:rsid w:val="00CB161D"/>
    <w:rsid w:val="00CB4E89"/>
    <w:rsid w:val="00CB5261"/>
    <w:rsid w:val="00CB6A73"/>
    <w:rsid w:val="00CC14FA"/>
    <w:rsid w:val="00CC26D4"/>
    <w:rsid w:val="00CC47CB"/>
    <w:rsid w:val="00CC63C2"/>
    <w:rsid w:val="00CD1038"/>
    <w:rsid w:val="00CD1C65"/>
    <w:rsid w:val="00CE1375"/>
    <w:rsid w:val="00D01E4D"/>
    <w:rsid w:val="00D15D3A"/>
    <w:rsid w:val="00D216E8"/>
    <w:rsid w:val="00D217A3"/>
    <w:rsid w:val="00D2651E"/>
    <w:rsid w:val="00D2663F"/>
    <w:rsid w:val="00D35AE4"/>
    <w:rsid w:val="00D35DAF"/>
    <w:rsid w:val="00D53251"/>
    <w:rsid w:val="00D555C3"/>
    <w:rsid w:val="00D667D1"/>
    <w:rsid w:val="00D7539F"/>
    <w:rsid w:val="00D8535B"/>
    <w:rsid w:val="00D87352"/>
    <w:rsid w:val="00D96584"/>
    <w:rsid w:val="00DA3E0C"/>
    <w:rsid w:val="00DB41A4"/>
    <w:rsid w:val="00DB480D"/>
    <w:rsid w:val="00DC620E"/>
    <w:rsid w:val="00DC6987"/>
    <w:rsid w:val="00DD7F3A"/>
    <w:rsid w:val="00E03D15"/>
    <w:rsid w:val="00E23F31"/>
    <w:rsid w:val="00E2556E"/>
    <w:rsid w:val="00E27FE7"/>
    <w:rsid w:val="00E35AE2"/>
    <w:rsid w:val="00E46C60"/>
    <w:rsid w:val="00E51638"/>
    <w:rsid w:val="00E51EC9"/>
    <w:rsid w:val="00E528C1"/>
    <w:rsid w:val="00E72E95"/>
    <w:rsid w:val="00E74FA0"/>
    <w:rsid w:val="00E76E59"/>
    <w:rsid w:val="00E81C67"/>
    <w:rsid w:val="00E83A1D"/>
    <w:rsid w:val="00E9121B"/>
    <w:rsid w:val="00E9134E"/>
    <w:rsid w:val="00E93FE6"/>
    <w:rsid w:val="00E95CB3"/>
    <w:rsid w:val="00EA2420"/>
    <w:rsid w:val="00EA448A"/>
    <w:rsid w:val="00EA49CC"/>
    <w:rsid w:val="00ED0D2D"/>
    <w:rsid w:val="00ED1DA1"/>
    <w:rsid w:val="00EE1F9D"/>
    <w:rsid w:val="00EE679B"/>
    <w:rsid w:val="00EF3C13"/>
    <w:rsid w:val="00F01FE2"/>
    <w:rsid w:val="00F1112B"/>
    <w:rsid w:val="00F14B6C"/>
    <w:rsid w:val="00F20082"/>
    <w:rsid w:val="00F236D8"/>
    <w:rsid w:val="00F320A1"/>
    <w:rsid w:val="00F3285E"/>
    <w:rsid w:val="00F36CC2"/>
    <w:rsid w:val="00F37204"/>
    <w:rsid w:val="00F45B0C"/>
    <w:rsid w:val="00F662B8"/>
    <w:rsid w:val="00F7041B"/>
    <w:rsid w:val="00F714B3"/>
    <w:rsid w:val="00F746C2"/>
    <w:rsid w:val="00F83444"/>
    <w:rsid w:val="00F85C87"/>
    <w:rsid w:val="00F914E8"/>
    <w:rsid w:val="00F97161"/>
    <w:rsid w:val="00F97DB2"/>
    <w:rsid w:val="00FA0862"/>
    <w:rsid w:val="00FA5CF8"/>
    <w:rsid w:val="00FB0444"/>
    <w:rsid w:val="00FB1FC5"/>
    <w:rsid w:val="00FC0CA6"/>
    <w:rsid w:val="00FC1801"/>
    <w:rsid w:val="00FC34E7"/>
    <w:rsid w:val="00FC68FA"/>
    <w:rsid w:val="00FD4664"/>
    <w:rsid w:val="00FE6A15"/>
    <w:rsid w:val="00FF693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2D1D91"/>
  <w14:defaultImageDpi w14:val="330"/>
  <w15:docId w15:val="{F634C997-86EC-4EEE-BD5F-6886B1E7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5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52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rsid w:val="0087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6A7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829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9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9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29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29C7"/>
    <w:rPr>
      <w:b/>
      <w:bCs/>
      <w:sz w:val="20"/>
      <w:szCs w:val="20"/>
    </w:rPr>
  </w:style>
  <w:style w:type="paragraph" w:styleId="Sinespaciado">
    <w:name w:val="No Spacing"/>
    <w:uiPriority w:val="1"/>
    <w:qFormat/>
    <w:rsid w:val="001C2160"/>
  </w:style>
  <w:style w:type="paragraph" w:customStyle="1" w:styleId="Default">
    <w:name w:val="Default"/>
    <w:rsid w:val="00C25A94"/>
    <w:pPr>
      <w:autoSpaceDE w:val="0"/>
      <w:autoSpaceDN w:val="0"/>
      <w:adjustRightInd w:val="0"/>
    </w:pPr>
    <w:rPr>
      <w:rFonts w:ascii="Arial" w:hAnsi="Arial" w:cs="Arial"/>
      <w:color w:val="00000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C652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A640B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476056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476056"/>
    <w:pPr>
      <w:numPr>
        <w:numId w:val="1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760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7605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760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7605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7605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7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om2.plataformadetransparencia.org.mx/medios-impugnacion-web/views/detallemediosujeto/detalleMedioSujeto.x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com2.plataformadetransparencia.org.mx/medios-impugnacion-web/views/detallemediosujeto/detalleMedioSujeto.x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com2.plataformadetransparencia.org.mx/medios-impugnacion-web/views/detallemediosujeto/detalleMedioSujeto.x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com2.plataformadetransparencia.org.mx/medios-impugnacion-web/views/detallemediosujeto/detalleMedioSujeto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com2.plataformadetransparencia.org.mx/medios-impugnacion-web/views/detallemediosujeto/detalleMedioSujeto.x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0FCE80-1961-4DDC-884A-E73D1971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11888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Silvia Hernández Solís</cp:lastModifiedBy>
  <cp:revision>2</cp:revision>
  <cp:lastPrinted>2021-12-03T22:03:00Z</cp:lastPrinted>
  <dcterms:created xsi:type="dcterms:W3CDTF">2021-12-03T23:43:00Z</dcterms:created>
  <dcterms:modified xsi:type="dcterms:W3CDTF">2021-12-03T23:43:00Z</dcterms:modified>
</cp:coreProperties>
</file>