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2996"/>
      </w:tblGrid>
      <w:tr w:rsidR="00FB7423" w:rsidTr="00035372">
        <w:trPr>
          <w:trHeight w:val="7319"/>
        </w:trPr>
        <w:tc>
          <w:tcPr>
            <w:tcW w:w="12996" w:type="dxa"/>
          </w:tcPr>
          <w:p w:rsidR="00035372" w:rsidRDefault="007F0CB8">
            <w:pPr>
              <w:rPr>
                <w:b/>
              </w:rPr>
            </w:pPr>
            <w:r>
              <w:rPr>
                <w:b/>
              </w:rPr>
              <w:t xml:space="preserve">      </w:t>
            </w:r>
          </w:p>
          <w:p w:rsidR="00035372" w:rsidRPr="00035372" w:rsidRDefault="00035372" w:rsidP="00394166">
            <w:pPr>
              <w:ind w:left="164" w:right="143"/>
              <w:jc w:val="right"/>
            </w:pPr>
            <w:r w:rsidRPr="00035372">
              <w:t>Oficio No.</w:t>
            </w:r>
            <w:r>
              <w:t xml:space="preserve"> </w:t>
            </w:r>
            <w:r w:rsidR="00345053">
              <w:rPr>
                <w:b/>
              </w:rPr>
              <w:t>11/290/0283</w:t>
            </w:r>
            <w:r w:rsidRPr="00035372">
              <w:rPr>
                <w:b/>
              </w:rPr>
              <w:t>/2019</w:t>
            </w:r>
            <w:r w:rsidRPr="00035372">
              <w:t xml:space="preserve"> </w:t>
            </w:r>
          </w:p>
          <w:p w:rsidR="00035372" w:rsidRDefault="00035372" w:rsidP="00394166">
            <w:pPr>
              <w:ind w:left="164" w:right="143"/>
              <w:rPr>
                <w:b/>
              </w:rPr>
            </w:pPr>
          </w:p>
          <w:p w:rsidR="00035372" w:rsidRPr="00035372" w:rsidRDefault="00035372" w:rsidP="00394166">
            <w:pPr>
              <w:ind w:left="164" w:right="143"/>
              <w:jc w:val="right"/>
            </w:pPr>
            <w:r w:rsidRPr="00035372">
              <w:t>Santa María Tonantzintla</w:t>
            </w:r>
            <w:r w:rsidR="00345053">
              <w:t>, Puebla, a 25</w:t>
            </w:r>
            <w:r>
              <w:t xml:space="preserve"> de </w:t>
            </w:r>
            <w:r w:rsidR="00345053">
              <w:t>noviembre</w:t>
            </w:r>
            <w:r w:rsidR="00C9547D">
              <w:t xml:space="preserve"> </w:t>
            </w:r>
            <w:r>
              <w:t>de 2019</w:t>
            </w:r>
            <w:r w:rsidRPr="00035372">
              <w:t xml:space="preserve"> </w:t>
            </w:r>
          </w:p>
          <w:p w:rsidR="00035372" w:rsidRDefault="00035372" w:rsidP="00394166">
            <w:pPr>
              <w:ind w:left="164" w:right="143"/>
              <w:rPr>
                <w:b/>
              </w:rPr>
            </w:pPr>
          </w:p>
          <w:p w:rsidR="00102B62" w:rsidRDefault="00102B62" w:rsidP="00394166">
            <w:pPr>
              <w:ind w:left="164" w:right="143"/>
              <w:rPr>
                <w:b/>
              </w:rPr>
            </w:pPr>
          </w:p>
          <w:p w:rsidR="00FB7423" w:rsidRPr="00035372" w:rsidRDefault="00035372" w:rsidP="00394166">
            <w:pPr>
              <w:ind w:left="164" w:right="143"/>
              <w:rPr>
                <w:b/>
              </w:rPr>
            </w:pPr>
            <w:r>
              <w:rPr>
                <w:b/>
              </w:rPr>
              <w:t>D</w:t>
            </w:r>
            <w:r w:rsidR="00345053">
              <w:rPr>
                <w:b/>
              </w:rPr>
              <w:t xml:space="preserve">R. EDMUNDO </w:t>
            </w:r>
            <w:r w:rsidR="00D92273">
              <w:rPr>
                <w:b/>
              </w:rPr>
              <w:t xml:space="preserve">GUTIÉRREZ DOMÍNGUEZ </w:t>
            </w:r>
            <w:r w:rsidR="00FB7423" w:rsidRPr="00035372">
              <w:rPr>
                <w:b/>
              </w:rPr>
              <w:t xml:space="preserve"> </w:t>
            </w:r>
          </w:p>
          <w:p w:rsidR="00D92273" w:rsidRDefault="00FB7423" w:rsidP="00394166">
            <w:pPr>
              <w:ind w:left="164" w:right="143"/>
              <w:rPr>
                <w:b/>
              </w:rPr>
            </w:pPr>
            <w:r w:rsidRPr="00035372">
              <w:rPr>
                <w:b/>
              </w:rPr>
              <w:t xml:space="preserve">DIRECTOR </w:t>
            </w:r>
            <w:r w:rsidR="00D92273">
              <w:rPr>
                <w:b/>
              </w:rPr>
              <w:t xml:space="preserve">GENERAL INTERINO </w:t>
            </w:r>
            <w:r w:rsidRPr="00035372">
              <w:rPr>
                <w:b/>
              </w:rPr>
              <w:t>DEL I</w:t>
            </w:r>
            <w:r w:rsidR="00D92273">
              <w:rPr>
                <w:b/>
              </w:rPr>
              <w:t xml:space="preserve">NSTITUTO NACIONAL </w:t>
            </w:r>
          </w:p>
          <w:p w:rsidR="00FB7423" w:rsidRPr="00035372" w:rsidRDefault="00D92273" w:rsidP="00394166">
            <w:pPr>
              <w:ind w:left="164" w:right="143"/>
              <w:rPr>
                <w:b/>
              </w:rPr>
            </w:pPr>
            <w:r>
              <w:rPr>
                <w:b/>
              </w:rPr>
              <w:t>DE ASTROFÍSICA, ÓPTICA Y ELECTRÓNICA (I</w:t>
            </w:r>
            <w:r w:rsidR="00FB7423" w:rsidRPr="00035372">
              <w:rPr>
                <w:b/>
              </w:rPr>
              <w:t>NAOE</w:t>
            </w:r>
            <w:r>
              <w:rPr>
                <w:b/>
              </w:rPr>
              <w:t>)</w:t>
            </w:r>
          </w:p>
          <w:p w:rsidR="00FB7423" w:rsidRDefault="00FB7423" w:rsidP="00394166">
            <w:pPr>
              <w:ind w:left="164" w:right="143"/>
            </w:pPr>
            <w:r>
              <w:t xml:space="preserve">Calle Luis Enrique Erro No. 1 </w:t>
            </w:r>
          </w:p>
          <w:p w:rsidR="00035372" w:rsidRDefault="006C0A4F" w:rsidP="00394166">
            <w:pPr>
              <w:ind w:left="164" w:right="143"/>
            </w:pPr>
            <w:r>
              <w:t>Santa María Tonantzintla, San Andrés Cholula</w:t>
            </w:r>
          </w:p>
          <w:p w:rsidR="00035372" w:rsidRDefault="00035372" w:rsidP="00394166">
            <w:pPr>
              <w:ind w:left="164" w:right="143"/>
            </w:pPr>
            <w:r>
              <w:t>Puebla, C.P. 72840</w:t>
            </w:r>
          </w:p>
          <w:p w:rsidR="008E3697" w:rsidRDefault="008E3697" w:rsidP="00102B62">
            <w:pPr>
              <w:ind w:right="143"/>
              <w:jc w:val="both"/>
            </w:pPr>
          </w:p>
          <w:p w:rsidR="00F21E3F" w:rsidRDefault="00035372" w:rsidP="00394166">
            <w:pPr>
              <w:ind w:left="164" w:right="143"/>
              <w:jc w:val="both"/>
            </w:pPr>
            <w:r>
              <w:t>En r</w:t>
            </w:r>
            <w:r w:rsidR="000138A5">
              <w:t>elación con la orden de auditorí</w:t>
            </w:r>
            <w:r>
              <w:t>a No. 11/290/</w:t>
            </w:r>
            <w:r w:rsidR="001F6DB1">
              <w:t>0</w:t>
            </w:r>
            <w:r w:rsidR="00C6291E">
              <w:t>163</w:t>
            </w:r>
            <w:r w:rsidR="001F6DB1">
              <w:t xml:space="preserve">/2019 </w:t>
            </w:r>
            <w:r w:rsidR="00A7437D">
              <w:t>d</w:t>
            </w:r>
            <w:r w:rsidR="006104FE">
              <w:t>e fecha</w:t>
            </w:r>
            <w:r w:rsidR="001F6DB1">
              <w:t xml:space="preserve"> </w:t>
            </w:r>
            <w:r w:rsidR="00C6291E">
              <w:t>02</w:t>
            </w:r>
            <w:r w:rsidR="001F6DB1">
              <w:t xml:space="preserve"> de </w:t>
            </w:r>
            <w:r w:rsidR="00C6291E">
              <w:t xml:space="preserve">septiembre </w:t>
            </w:r>
            <w:r w:rsidR="001F6DB1">
              <w:t xml:space="preserve">de 2019, y de conformidad con los Artículos </w:t>
            </w:r>
            <w:r w:rsidR="00F860F2">
              <w:t>90, de la Constitución Política de los Estados Unidos Mexicanos; 37, fracción IX de la Ley Orgánica de la Administración Pública Federal; 62, fracción III de la Ley Federal de las Entidades Paraestatales; 6 de la Ley Federal de</w:t>
            </w:r>
            <w:r w:rsidR="0051482E">
              <w:t xml:space="preserve"> Presupuesto y</w:t>
            </w:r>
            <w:r w:rsidR="00F860F2">
              <w:t xml:space="preserve"> Responsabilid</w:t>
            </w:r>
            <w:r w:rsidR="00F21E3F">
              <w:t xml:space="preserve">ades </w:t>
            </w:r>
            <w:r w:rsidR="00814134">
              <w:t xml:space="preserve">Hacendaria; 304, </w:t>
            </w:r>
            <w:r w:rsidR="000138A5">
              <w:t>fracción</w:t>
            </w:r>
            <w:r w:rsidR="00814134">
              <w:t xml:space="preserve"> III, 305, 306, 310 y 311 de su Reglamento; 3, fracción II</w:t>
            </w:r>
            <w:r w:rsidR="0051482E">
              <w:t xml:space="preserve">I y 8 fracción XVI de la Ley de </w:t>
            </w:r>
            <w:r w:rsidR="00814134">
              <w:t>Responsabilidades Ad</w:t>
            </w:r>
            <w:r w:rsidR="000138A5">
              <w:t>ministrativas, publicada en el D</w:t>
            </w:r>
            <w:r w:rsidR="00814134">
              <w:t>iario Oficial de la Federación (DOF), el 18 de julio de 2016; 98</w:t>
            </w:r>
            <w:r w:rsidR="00F21E3F">
              <w:t>, fracciones XI y XIII del Reg</w:t>
            </w:r>
            <w:r w:rsidR="000138A5">
              <w:t>lamento Interior de la Secretarí</w:t>
            </w:r>
            <w:r w:rsidR="00F21E3F">
              <w:t xml:space="preserve">a de la Función Pública, publicado en el DOF el 19 de julio de 2017, numeral 21 del artículo tercero del ACUERDO por el que se establecen las disposiciones generales para la revisión de auditorías, revisiones y visitas de inspección, publicado en el DOF el 12 de julio de 2010, última actualización el 23 de octubre de 2017, </w:t>
            </w:r>
            <w:r w:rsidR="00C6291E">
              <w:t>así</w:t>
            </w:r>
            <w:r w:rsidR="00F21E3F">
              <w:t xml:space="preserve"> como el </w:t>
            </w:r>
            <w:r w:rsidR="000138A5">
              <w:t>Programa Anual de Auditorí</w:t>
            </w:r>
            <w:r w:rsidR="000E3E22">
              <w:t>a 2019</w:t>
            </w:r>
            <w:r w:rsidR="00F21E3F">
              <w:t>, se a</w:t>
            </w:r>
            <w:r w:rsidR="000138A5">
              <w:t>djunta el informe de la auditorí</w:t>
            </w:r>
            <w:r w:rsidR="00F21E3F">
              <w:t>a No. 0</w:t>
            </w:r>
            <w:r w:rsidR="00C6291E">
              <w:t>5</w:t>
            </w:r>
            <w:r w:rsidR="00F21E3F">
              <w:t>/2019 practicada a</w:t>
            </w:r>
            <w:r w:rsidR="000138A5">
              <w:t xml:space="preserve"> la </w:t>
            </w:r>
            <w:r w:rsidR="00F21E3F">
              <w:t xml:space="preserve">Dirección </w:t>
            </w:r>
            <w:r w:rsidR="000138A5">
              <w:t xml:space="preserve">General </w:t>
            </w:r>
            <w:r w:rsidR="00F21E3F">
              <w:t>a su cargo, con clave 800 “</w:t>
            </w:r>
            <w:r w:rsidR="0087244E" w:rsidRPr="001E2A7F">
              <w:t>Resultado de programas mediante la revisión</w:t>
            </w:r>
            <w:r w:rsidR="0087244E">
              <w:t xml:space="preserve"> </w:t>
            </w:r>
            <w:r w:rsidR="000E3E22">
              <w:t xml:space="preserve">AL </w:t>
            </w:r>
            <w:r w:rsidR="00F21E3F">
              <w:t xml:space="preserve">DESEMPEÑO”. </w:t>
            </w:r>
          </w:p>
          <w:p w:rsidR="00035372" w:rsidRDefault="00035372" w:rsidP="00394166">
            <w:pPr>
              <w:ind w:left="164" w:right="143"/>
              <w:jc w:val="both"/>
            </w:pPr>
          </w:p>
          <w:p w:rsidR="008E3697" w:rsidRPr="00746B12" w:rsidRDefault="00746B12" w:rsidP="00746B12">
            <w:pPr>
              <w:ind w:left="164" w:right="143"/>
              <w:jc w:val="both"/>
              <w:rPr>
                <w:b/>
              </w:rPr>
            </w:pPr>
            <w:r>
              <w:t>E</w:t>
            </w:r>
            <w:r w:rsidR="00A7437D" w:rsidRPr="001E2A7F">
              <w:t>s importante mencionar que de</w:t>
            </w:r>
            <w:r w:rsidR="00A7437D">
              <w:t xml:space="preserve">bido a los cambios administrativos en la Dirección General </w:t>
            </w:r>
            <w:r w:rsidR="00A7437D" w:rsidRPr="001E2A7F">
              <w:t>del I</w:t>
            </w:r>
            <w:r w:rsidR="00A7437D">
              <w:t>nstituto Nacional de Astrofísica, Óptica y Electrónica (IN</w:t>
            </w:r>
            <w:r w:rsidR="00A7437D" w:rsidRPr="001E2A7F">
              <w:t>AOE</w:t>
            </w:r>
            <w:r w:rsidR="00A7437D">
              <w:t>)</w:t>
            </w:r>
            <w:r w:rsidR="00A7437D" w:rsidRPr="001E2A7F">
              <w:t xml:space="preserve"> </w:t>
            </w:r>
            <w:r w:rsidR="00A7437D">
              <w:t xml:space="preserve">se remitió el oficio No. 11/290/0198/2019 mediante el cual se le informó </w:t>
            </w:r>
            <w:r w:rsidR="00A7437D" w:rsidRPr="001E2A7F">
              <w:t>que este Órgano Interno de Control est</w:t>
            </w:r>
            <w:r w:rsidR="00A7437D">
              <w:t>aba</w:t>
            </w:r>
            <w:r w:rsidR="000138A5">
              <w:t xml:space="preserve"> llevando a cabo en la</w:t>
            </w:r>
            <w:r w:rsidR="00A7437D" w:rsidRPr="001E2A7F">
              <w:t xml:space="preserve"> Dirección General la revisión No. 05/2019 “Resultado de programas mediante la revisión al desempeño” al Convenio de Administración por Resultados (CAR)</w:t>
            </w:r>
            <w:r w:rsidR="00A7437D">
              <w:t>, donde el e</w:t>
            </w:r>
            <w:r w:rsidR="000138A5">
              <w:t>ntonces Director General designó</w:t>
            </w:r>
            <w:r w:rsidR="00A7437D">
              <w:t xml:space="preserve"> a la Mtra. Jazmín Saldaña Bustamante, Coordinadora de Archivos del Instituto</w:t>
            </w:r>
            <w:r w:rsidR="000138A5">
              <w:t>,</w:t>
            </w:r>
            <w:r w:rsidR="00A7437D">
              <w:t xml:space="preserve"> como enlace de esta auditoría. </w:t>
            </w:r>
            <w:r w:rsidR="00A7437D" w:rsidRPr="001E2A7F">
              <w:t>P</w:t>
            </w:r>
            <w:r w:rsidR="000138A5">
              <w:t>or lo que, se le solicitó</w:t>
            </w:r>
            <w:r w:rsidR="00A7437D">
              <w:t xml:space="preserve"> que confirmara la designación de la Mtra. Sa</w:t>
            </w:r>
            <w:r w:rsidR="000138A5">
              <w:t>ldaña, o en su caso, se nombrara</w:t>
            </w:r>
            <w:r w:rsidR="00A7437D">
              <w:t xml:space="preserve"> a un sustituto que fungiera como enlace. Sin embargo, no se obtuvo respuesta al oficio antes referido, por lo que se </w:t>
            </w:r>
            <w:r w:rsidR="00A7437D">
              <w:lastRenderedPageBreak/>
              <w:t xml:space="preserve">procedió a revisar la información y documentación proporcionada en respuesta a los oficios Nos. </w:t>
            </w:r>
            <w:r>
              <w:t>11/290/0173/2019 y 11/290/0185/2019. D</w:t>
            </w:r>
            <w:r w:rsidR="00A7437D">
              <w:t xml:space="preserve">e lo anterior, </w:t>
            </w:r>
            <w:r w:rsidR="00394166">
              <w:t>se emite</w:t>
            </w:r>
            <w:r w:rsidR="000138A5">
              <w:t>n</w:t>
            </w:r>
            <w:r w:rsidR="00394166">
              <w:t xml:space="preserve"> y adjunta</w:t>
            </w:r>
            <w:r w:rsidR="000138A5">
              <w:t>n</w:t>
            </w:r>
            <w:r w:rsidR="00394166">
              <w:t xml:space="preserve"> al presente oficio,</w:t>
            </w:r>
            <w:r w:rsidR="00E11EB1">
              <w:t xml:space="preserve"> los resultados </w:t>
            </w:r>
            <w:r w:rsidR="00394166">
              <w:t>obtenidos</w:t>
            </w:r>
            <w:r w:rsidR="008E3697">
              <w:t>:</w:t>
            </w:r>
          </w:p>
          <w:p w:rsidR="008E3697" w:rsidRDefault="008E3697" w:rsidP="00394166">
            <w:pPr>
              <w:ind w:left="164" w:right="143"/>
              <w:jc w:val="both"/>
            </w:pPr>
          </w:p>
          <w:p w:rsidR="00CB4372" w:rsidRDefault="008E3697" w:rsidP="00A469FE">
            <w:pPr>
              <w:ind w:left="164" w:right="143"/>
              <w:jc w:val="both"/>
              <w:rPr>
                <w:b/>
              </w:rPr>
            </w:pPr>
            <w:r>
              <w:t xml:space="preserve"> </w:t>
            </w:r>
            <w:r>
              <w:rPr>
                <w:b/>
              </w:rPr>
              <w:t>CONVENIO DE ADMINISTRACIÓN POR RESULTADOS (CAR)</w:t>
            </w:r>
            <w:r w:rsidR="002740D5" w:rsidRPr="002740D5">
              <w:rPr>
                <w:b/>
              </w:rPr>
              <w:t xml:space="preserve"> </w:t>
            </w:r>
          </w:p>
          <w:p w:rsidR="00CB4372" w:rsidRDefault="00CB4372" w:rsidP="00A469FE">
            <w:pPr>
              <w:ind w:left="164" w:right="143"/>
              <w:jc w:val="both"/>
              <w:rPr>
                <w:b/>
              </w:rPr>
            </w:pPr>
          </w:p>
          <w:p w:rsidR="00CB4372" w:rsidRDefault="00CB4372" w:rsidP="00A469FE">
            <w:pPr>
              <w:pStyle w:val="Prrafodelista"/>
              <w:numPr>
                <w:ilvl w:val="0"/>
                <w:numId w:val="17"/>
              </w:numPr>
              <w:ind w:right="143"/>
              <w:jc w:val="both"/>
              <w:rPr>
                <w:b/>
              </w:rPr>
            </w:pPr>
            <w:r w:rsidRPr="00CB4372">
              <w:rPr>
                <w:b/>
              </w:rPr>
              <w:t xml:space="preserve">Programa </w:t>
            </w:r>
            <w:r w:rsidR="0060340E">
              <w:rPr>
                <w:b/>
              </w:rPr>
              <w:t>de Investigación Científica</w:t>
            </w:r>
          </w:p>
          <w:p w:rsidR="0060340E" w:rsidRDefault="0060340E" w:rsidP="0060340E">
            <w:pPr>
              <w:pStyle w:val="Prrafodelista"/>
              <w:ind w:right="143"/>
              <w:jc w:val="both"/>
              <w:rPr>
                <w:b/>
              </w:rPr>
            </w:pPr>
          </w:p>
          <w:p w:rsidR="0060340E" w:rsidRDefault="0060340E" w:rsidP="0060340E">
            <w:pPr>
              <w:pStyle w:val="Prrafodelista"/>
              <w:numPr>
                <w:ilvl w:val="0"/>
                <w:numId w:val="20"/>
              </w:numPr>
              <w:ind w:right="143"/>
              <w:jc w:val="both"/>
              <w:rPr>
                <w:b/>
              </w:rPr>
            </w:pPr>
            <w:r>
              <w:rPr>
                <w:b/>
              </w:rPr>
              <w:t xml:space="preserve">Generación de conocimiento de calidad </w:t>
            </w:r>
          </w:p>
          <w:p w:rsidR="00CA6CC7" w:rsidRDefault="007A3DAC" w:rsidP="00CA6CC7">
            <w:pPr>
              <w:pStyle w:val="Prrafodelista"/>
              <w:ind w:right="143"/>
              <w:jc w:val="both"/>
            </w:pPr>
            <w:r>
              <w:t>Durante el primer semestre del ejercicio 2018</w:t>
            </w:r>
            <w:r w:rsidR="00F6338D">
              <w:t>,</w:t>
            </w:r>
            <w:r>
              <w:t xml:space="preserve"> se realizaron 143 publicaciones arbitra</w:t>
            </w:r>
            <w:r w:rsidR="0087244E">
              <w:t>das</w:t>
            </w:r>
            <w:r>
              <w:t xml:space="preserve"> con 148 investigadores del centro, sin alcanzar la meta comprometida de 215 publicaciones arbitra</w:t>
            </w:r>
            <w:r w:rsidR="0087244E">
              <w:t>das</w:t>
            </w:r>
            <w:r>
              <w:t xml:space="preserve"> con 146 investigadores del centro. Sin embargo, para el segundo semestre de ese mismo ejercicio, se realizaron 230 publicaciones arbitra</w:t>
            </w:r>
            <w:r w:rsidR="0087244E">
              <w:t>das</w:t>
            </w:r>
            <w:r>
              <w:t xml:space="preserve"> con 158 investigadores del centro, rebasando la meta comprometida de 215 publicaciones arbitr</w:t>
            </w:r>
            <w:r w:rsidR="0087244E">
              <w:t>adas</w:t>
            </w:r>
            <w:r>
              <w:t xml:space="preserve"> con 146 investigadores de</w:t>
            </w:r>
            <w:r w:rsidR="001022CD">
              <w:t>l</w:t>
            </w:r>
            <w:r w:rsidR="0087244E">
              <w:t xml:space="preserve"> centro. Esto conforme la calidad científica del Instituto; sin embargo, es importante dar seguimiento a la productividad individual. </w:t>
            </w:r>
          </w:p>
          <w:p w:rsidR="00945E1F" w:rsidRDefault="00945E1F" w:rsidP="00CA6CC7">
            <w:pPr>
              <w:pStyle w:val="Prrafodelista"/>
              <w:ind w:right="143"/>
              <w:jc w:val="both"/>
            </w:pP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945E1F" w:rsidRPr="00945E1F" w:rsidTr="00945E1F">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45E1F" w:rsidRPr="00945E1F" w:rsidRDefault="00945E1F" w:rsidP="00945E1F">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945E1F" w:rsidRPr="00945E1F" w:rsidRDefault="00945E1F" w:rsidP="00945E1F">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945E1F" w:rsidRPr="00945E1F" w:rsidTr="00945E1F">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945E1F" w:rsidRPr="00945E1F" w:rsidRDefault="00945E1F" w:rsidP="00945E1F">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945E1F" w:rsidRPr="00945E1F" w:rsidRDefault="00945E1F" w:rsidP="00945E1F">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sidR="00E72540">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945E1F" w:rsidRPr="00945E1F" w:rsidRDefault="00945E1F" w:rsidP="00945E1F">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sidR="00E72540">
                    <w:rPr>
                      <w:rFonts w:ascii="Arial" w:eastAsia="Times New Roman" w:hAnsi="Arial" w:cs="Arial"/>
                      <w:b/>
                      <w:bCs/>
                      <w:color w:val="000000"/>
                      <w:sz w:val="14"/>
                      <w:szCs w:val="14"/>
                      <w:lang w:eastAsia="es-MX"/>
                    </w:rPr>
                    <w:t xml:space="preserve"> SEMESTRE</w:t>
                  </w:r>
                </w:p>
              </w:tc>
            </w:tr>
            <w:tr w:rsidR="00945E1F" w:rsidRPr="00945E1F" w:rsidTr="00945E1F">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945E1F" w:rsidRPr="00945E1F" w:rsidRDefault="00945E1F" w:rsidP="00945E1F">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945E1F" w:rsidRPr="00945E1F" w:rsidRDefault="00E11EB1" w:rsidP="00E11EB1">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945E1F" w:rsidRPr="00945E1F" w:rsidRDefault="00945E1F" w:rsidP="00945E1F">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945E1F" w:rsidRPr="00945E1F" w:rsidRDefault="00E11EB1" w:rsidP="00945E1F">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945E1F" w:rsidRPr="00945E1F" w:rsidRDefault="00945E1F" w:rsidP="00945E1F">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945E1F" w:rsidRPr="00945E1F" w:rsidTr="00E11EB1">
              <w:trPr>
                <w:trHeight w:val="223"/>
                <w:jc w:val="center"/>
              </w:trPr>
              <w:tc>
                <w:tcPr>
                  <w:tcW w:w="2612" w:type="dxa"/>
                  <w:tcBorders>
                    <w:top w:val="nil"/>
                    <w:left w:val="single" w:sz="4" w:space="0" w:color="auto"/>
                    <w:bottom w:val="single" w:sz="4" w:space="0" w:color="auto"/>
                    <w:right w:val="single" w:sz="4" w:space="0" w:color="auto"/>
                  </w:tcBorders>
                  <w:shd w:val="clear" w:color="auto" w:fill="auto"/>
                  <w:noWrap/>
                  <w:vAlign w:val="center"/>
                  <w:hideMark/>
                </w:tcPr>
                <w:p w:rsidR="00945E1F" w:rsidRPr="00945E1F" w:rsidRDefault="00945E1F" w:rsidP="009D3DF8">
                  <w:pPr>
                    <w:spacing w:after="0" w:line="240" w:lineRule="auto"/>
                    <w:jc w:val="both"/>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 xml:space="preserve">Número de publicaciones arbitradas </w:t>
                  </w:r>
                </w:p>
              </w:tc>
              <w:tc>
                <w:tcPr>
                  <w:tcW w:w="886" w:type="dxa"/>
                  <w:tcBorders>
                    <w:top w:val="nil"/>
                    <w:left w:val="nil"/>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215</w:t>
                  </w:r>
                </w:p>
              </w:tc>
              <w:tc>
                <w:tcPr>
                  <w:tcW w:w="10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1.47</w:t>
                  </w:r>
                </w:p>
              </w:tc>
              <w:tc>
                <w:tcPr>
                  <w:tcW w:w="878" w:type="dxa"/>
                  <w:tcBorders>
                    <w:top w:val="nil"/>
                    <w:left w:val="nil"/>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143</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0.96</w:t>
                  </w:r>
                </w:p>
              </w:tc>
              <w:tc>
                <w:tcPr>
                  <w:tcW w:w="899" w:type="dxa"/>
                  <w:tcBorders>
                    <w:top w:val="nil"/>
                    <w:left w:val="nil"/>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215</w:t>
                  </w:r>
                </w:p>
              </w:tc>
              <w:tc>
                <w:tcPr>
                  <w:tcW w:w="10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1.47</w:t>
                  </w:r>
                </w:p>
              </w:tc>
              <w:tc>
                <w:tcPr>
                  <w:tcW w:w="900" w:type="dxa"/>
                  <w:tcBorders>
                    <w:top w:val="nil"/>
                    <w:left w:val="nil"/>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230</w:t>
                  </w:r>
                </w:p>
              </w:tc>
              <w:tc>
                <w:tcPr>
                  <w:tcW w:w="7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1.45</w:t>
                  </w:r>
                </w:p>
              </w:tc>
            </w:tr>
            <w:tr w:rsidR="00945E1F" w:rsidRPr="00945E1F" w:rsidTr="00E11EB1">
              <w:trPr>
                <w:trHeight w:val="283"/>
                <w:jc w:val="center"/>
              </w:trPr>
              <w:tc>
                <w:tcPr>
                  <w:tcW w:w="2612" w:type="dxa"/>
                  <w:tcBorders>
                    <w:top w:val="nil"/>
                    <w:left w:val="single" w:sz="4" w:space="0" w:color="auto"/>
                    <w:bottom w:val="single" w:sz="4" w:space="0" w:color="auto"/>
                    <w:right w:val="single" w:sz="4" w:space="0" w:color="auto"/>
                  </w:tcBorders>
                  <w:shd w:val="clear" w:color="auto" w:fill="auto"/>
                  <w:noWrap/>
                  <w:vAlign w:val="center"/>
                  <w:hideMark/>
                </w:tcPr>
                <w:p w:rsidR="00945E1F" w:rsidRPr="00945E1F" w:rsidRDefault="00945E1F" w:rsidP="009D3DF8">
                  <w:pPr>
                    <w:spacing w:after="0" w:line="240" w:lineRule="auto"/>
                    <w:jc w:val="both"/>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 xml:space="preserve">Número de investigadores del centro </w:t>
                  </w:r>
                </w:p>
              </w:tc>
              <w:tc>
                <w:tcPr>
                  <w:tcW w:w="886" w:type="dxa"/>
                  <w:tcBorders>
                    <w:top w:val="nil"/>
                    <w:left w:val="nil"/>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146</w:t>
                  </w:r>
                </w:p>
              </w:tc>
              <w:tc>
                <w:tcPr>
                  <w:tcW w:w="1012" w:type="dxa"/>
                  <w:vMerge/>
                  <w:tcBorders>
                    <w:top w:val="nil"/>
                    <w:left w:val="single" w:sz="4" w:space="0" w:color="auto"/>
                    <w:bottom w:val="single" w:sz="4" w:space="0" w:color="auto"/>
                    <w:right w:val="single" w:sz="4" w:space="0" w:color="auto"/>
                  </w:tcBorders>
                  <w:vAlign w:val="center"/>
                  <w:hideMark/>
                </w:tcPr>
                <w:p w:rsidR="00945E1F" w:rsidRPr="00945E1F" w:rsidRDefault="00945E1F" w:rsidP="00945E1F">
                  <w:pPr>
                    <w:spacing w:after="0" w:line="240" w:lineRule="auto"/>
                    <w:rPr>
                      <w:rFonts w:ascii="Arial" w:eastAsia="Times New Roman" w:hAnsi="Arial" w:cs="Arial"/>
                      <w:color w:val="000000"/>
                      <w:sz w:val="14"/>
                      <w:szCs w:val="14"/>
                      <w:lang w:eastAsia="es-MX"/>
                    </w:rPr>
                  </w:pPr>
                </w:p>
              </w:tc>
              <w:tc>
                <w:tcPr>
                  <w:tcW w:w="878" w:type="dxa"/>
                  <w:tcBorders>
                    <w:top w:val="nil"/>
                    <w:left w:val="nil"/>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148</w:t>
                  </w:r>
                </w:p>
              </w:tc>
              <w:tc>
                <w:tcPr>
                  <w:tcW w:w="1006" w:type="dxa"/>
                  <w:vMerge/>
                  <w:tcBorders>
                    <w:top w:val="nil"/>
                    <w:left w:val="single" w:sz="4" w:space="0" w:color="auto"/>
                    <w:bottom w:val="single" w:sz="4" w:space="0" w:color="auto"/>
                    <w:right w:val="single" w:sz="4" w:space="0" w:color="auto"/>
                  </w:tcBorders>
                  <w:vAlign w:val="center"/>
                  <w:hideMark/>
                </w:tcPr>
                <w:p w:rsidR="00945E1F" w:rsidRPr="00945E1F" w:rsidRDefault="00945E1F" w:rsidP="00945E1F">
                  <w:pPr>
                    <w:spacing w:after="0" w:line="240" w:lineRule="auto"/>
                    <w:rPr>
                      <w:rFonts w:ascii="Arial" w:eastAsia="Times New Roman" w:hAnsi="Arial" w:cs="Arial"/>
                      <w:color w:val="000000"/>
                      <w:sz w:val="14"/>
                      <w:szCs w:val="14"/>
                      <w:lang w:eastAsia="es-MX"/>
                    </w:rPr>
                  </w:pPr>
                </w:p>
              </w:tc>
              <w:tc>
                <w:tcPr>
                  <w:tcW w:w="899" w:type="dxa"/>
                  <w:tcBorders>
                    <w:top w:val="nil"/>
                    <w:left w:val="nil"/>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146</w:t>
                  </w:r>
                </w:p>
              </w:tc>
              <w:tc>
                <w:tcPr>
                  <w:tcW w:w="1027" w:type="dxa"/>
                  <w:vMerge/>
                  <w:tcBorders>
                    <w:top w:val="nil"/>
                    <w:left w:val="single" w:sz="4" w:space="0" w:color="auto"/>
                    <w:bottom w:val="single" w:sz="4" w:space="0" w:color="auto"/>
                    <w:right w:val="single" w:sz="4" w:space="0" w:color="auto"/>
                  </w:tcBorders>
                  <w:vAlign w:val="center"/>
                  <w:hideMark/>
                </w:tcPr>
                <w:p w:rsidR="00945E1F" w:rsidRPr="00945E1F" w:rsidRDefault="00945E1F" w:rsidP="00945E1F">
                  <w:pPr>
                    <w:spacing w:after="0" w:line="240" w:lineRule="auto"/>
                    <w:rPr>
                      <w:rFonts w:ascii="Arial" w:eastAsia="Times New Roman" w:hAnsi="Arial" w:cs="Arial"/>
                      <w:color w:val="000000"/>
                      <w:sz w:val="14"/>
                      <w:szCs w:val="14"/>
                      <w:lang w:eastAsia="es-MX"/>
                    </w:rPr>
                  </w:pPr>
                </w:p>
              </w:tc>
              <w:tc>
                <w:tcPr>
                  <w:tcW w:w="900" w:type="dxa"/>
                  <w:tcBorders>
                    <w:top w:val="nil"/>
                    <w:left w:val="nil"/>
                    <w:bottom w:val="single" w:sz="4" w:space="0" w:color="auto"/>
                    <w:right w:val="single" w:sz="4" w:space="0" w:color="auto"/>
                  </w:tcBorders>
                  <w:shd w:val="clear" w:color="auto" w:fill="auto"/>
                  <w:noWrap/>
                  <w:vAlign w:val="center"/>
                  <w:hideMark/>
                </w:tcPr>
                <w:p w:rsidR="00945E1F" w:rsidRPr="00945E1F" w:rsidRDefault="00945E1F" w:rsidP="00945E1F">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158</w:t>
                  </w:r>
                </w:p>
              </w:tc>
              <w:tc>
                <w:tcPr>
                  <w:tcW w:w="744" w:type="dxa"/>
                  <w:vMerge/>
                  <w:tcBorders>
                    <w:top w:val="nil"/>
                    <w:left w:val="single" w:sz="4" w:space="0" w:color="auto"/>
                    <w:bottom w:val="single" w:sz="4" w:space="0" w:color="000000"/>
                    <w:right w:val="single" w:sz="4" w:space="0" w:color="auto"/>
                  </w:tcBorders>
                  <w:vAlign w:val="center"/>
                  <w:hideMark/>
                </w:tcPr>
                <w:p w:rsidR="00945E1F" w:rsidRPr="00945E1F" w:rsidRDefault="00945E1F" w:rsidP="00945E1F">
                  <w:pPr>
                    <w:spacing w:after="0" w:line="240" w:lineRule="auto"/>
                    <w:rPr>
                      <w:rFonts w:ascii="Arial" w:eastAsia="Times New Roman" w:hAnsi="Arial" w:cs="Arial"/>
                      <w:color w:val="000000"/>
                      <w:sz w:val="14"/>
                      <w:szCs w:val="14"/>
                      <w:lang w:eastAsia="es-MX"/>
                    </w:rPr>
                  </w:pPr>
                </w:p>
              </w:tc>
            </w:tr>
          </w:tbl>
          <w:p w:rsidR="00945E1F" w:rsidRDefault="00945E1F" w:rsidP="00482E26">
            <w:pPr>
              <w:pStyle w:val="Prrafodelista"/>
              <w:tabs>
                <w:tab w:val="left" w:pos="5295"/>
              </w:tabs>
              <w:ind w:left="1440" w:right="143"/>
              <w:jc w:val="both"/>
              <w:rPr>
                <w:b/>
              </w:rPr>
            </w:pPr>
          </w:p>
          <w:p w:rsidR="0060340E" w:rsidRPr="00CB4372" w:rsidRDefault="0060340E" w:rsidP="0060340E">
            <w:pPr>
              <w:pStyle w:val="Prrafodelista"/>
              <w:numPr>
                <w:ilvl w:val="0"/>
                <w:numId w:val="20"/>
              </w:numPr>
              <w:ind w:right="143"/>
              <w:jc w:val="both"/>
              <w:rPr>
                <w:b/>
              </w:rPr>
            </w:pPr>
            <w:r>
              <w:rPr>
                <w:b/>
              </w:rPr>
              <w:t>Proyectos Externos por Investigador</w:t>
            </w:r>
          </w:p>
          <w:p w:rsidR="00351CB1" w:rsidRDefault="00880EAA" w:rsidP="00351CB1">
            <w:pPr>
              <w:pStyle w:val="Prrafodelista"/>
              <w:ind w:right="143"/>
              <w:jc w:val="both"/>
            </w:pPr>
            <w:r>
              <w:t xml:space="preserve">En </w:t>
            </w:r>
            <w:r w:rsidR="00351CB1">
              <w:t>el primer semestre del ejercicio 2018</w:t>
            </w:r>
            <w:r w:rsidR="00F6338D">
              <w:t>,</w:t>
            </w:r>
            <w:r w:rsidR="00351CB1">
              <w:t xml:space="preserve"> se realizaron 67 proyectos de investigación</w:t>
            </w:r>
            <w:r w:rsidR="000138A5">
              <w:t xml:space="preserve"> financiadas con recursos externos</w:t>
            </w:r>
            <w:r w:rsidR="00351CB1">
              <w:t xml:space="preserve"> con 148 investigadores del centro, sin alcanzar la meta comprometida de </w:t>
            </w:r>
            <w:r w:rsidR="001C6206">
              <w:t xml:space="preserve">90 proyectos de investigación </w:t>
            </w:r>
            <w:r w:rsidR="00351CB1">
              <w:t xml:space="preserve">con 146 investigadores del centro. Sin embargo, para el segundo semestre de ese mismo ejercicio, </w:t>
            </w:r>
            <w:r w:rsidR="001C6206">
              <w:t>se realizaron 92 proyectos con 158 investigadores del centro, rebasando la meta comprometida de 90 proyectos con 146 investigadores del centro</w:t>
            </w:r>
            <w:r w:rsidR="00351CB1">
              <w:t xml:space="preserve">. </w:t>
            </w:r>
          </w:p>
          <w:p w:rsidR="0087244E" w:rsidRDefault="0087244E" w:rsidP="00351CB1">
            <w:pPr>
              <w:pStyle w:val="Prrafodelista"/>
              <w:ind w:right="143"/>
              <w:jc w:val="both"/>
            </w:pP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E11EB1" w:rsidRPr="00945E1F" w:rsidTr="0087244E">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11EB1" w:rsidRPr="00945E1F" w:rsidRDefault="00E11EB1" w:rsidP="00E11EB1">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E11EB1" w:rsidRPr="00945E1F" w:rsidRDefault="00E11EB1" w:rsidP="00E11EB1">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E11EB1" w:rsidRPr="00945E1F" w:rsidTr="0087244E">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E11EB1" w:rsidRPr="00945E1F" w:rsidRDefault="00E11EB1" w:rsidP="00E11EB1">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E11EB1" w:rsidRPr="00945E1F" w:rsidRDefault="00E11EB1" w:rsidP="00E11EB1">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sidR="00E72540">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E11EB1" w:rsidRPr="00945E1F" w:rsidRDefault="00E11EB1" w:rsidP="00E11EB1">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sidR="00E72540">
                    <w:rPr>
                      <w:rFonts w:ascii="Arial" w:eastAsia="Times New Roman" w:hAnsi="Arial" w:cs="Arial"/>
                      <w:b/>
                      <w:bCs/>
                      <w:color w:val="000000"/>
                      <w:sz w:val="14"/>
                      <w:szCs w:val="14"/>
                      <w:lang w:eastAsia="es-MX"/>
                    </w:rPr>
                    <w:t xml:space="preserve"> SEMESTRE</w:t>
                  </w:r>
                </w:p>
              </w:tc>
            </w:tr>
            <w:tr w:rsidR="00E11EB1" w:rsidRPr="00945E1F" w:rsidTr="0087244E">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E11EB1" w:rsidRPr="00945E1F" w:rsidRDefault="00E11EB1" w:rsidP="00E11EB1">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E11EB1" w:rsidRPr="00945E1F" w:rsidRDefault="00E11EB1" w:rsidP="00E11EB1">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E11EB1" w:rsidRPr="00945E1F" w:rsidRDefault="00E11EB1" w:rsidP="00E11EB1">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E11EB1" w:rsidRPr="00945E1F" w:rsidRDefault="00E11EB1" w:rsidP="00E11EB1">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E11EB1" w:rsidRPr="00945E1F" w:rsidRDefault="00E11EB1" w:rsidP="00E11EB1">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E11EB1" w:rsidRPr="00945E1F" w:rsidTr="0087244E">
              <w:trPr>
                <w:trHeight w:val="209"/>
                <w:jc w:val="center"/>
              </w:trPr>
              <w:tc>
                <w:tcPr>
                  <w:tcW w:w="2612" w:type="dxa"/>
                  <w:tcBorders>
                    <w:top w:val="nil"/>
                    <w:left w:val="single" w:sz="4" w:space="0" w:color="auto"/>
                    <w:bottom w:val="single" w:sz="4" w:space="0" w:color="auto"/>
                    <w:right w:val="single" w:sz="4" w:space="0" w:color="auto"/>
                  </w:tcBorders>
                  <w:shd w:val="clear" w:color="auto" w:fill="auto"/>
                  <w:noWrap/>
                  <w:vAlign w:val="center"/>
                  <w:hideMark/>
                </w:tcPr>
                <w:p w:rsidR="00E11EB1" w:rsidRPr="00945E1F" w:rsidRDefault="00E11EB1" w:rsidP="009D3DF8">
                  <w:pPr>
                    <w:spacing w:after="0" w:line="240" w:lineRule="auto"/>
                    <w:jc w:val="both"/>
                    <w:rPr>
                      <w:rFonts w:ascii="Arial" w:eastAsia="Times New Roman" w:hAnsi="Arial" w:cs="Arial"/>
                      <w:color w:val="000000"/>
                      <w:sz w:val="14"/>
                      <w:szCs w:val="14"/>
                      <w:lang w:eastAsia="es-MX"/>
                    </w:rPr>
                  </w:pPr>
                  <w:r w:rsidRPr="00E11EB1">
                    <w:rPr>
                      <w:rFonts w:ascii="Arial" w:eastAsia="Times New Roman" w:hAnsi="Arial" w:cs="Arial"/>
                      <w:color w:val="000000"/>
                      <w:sz w:val="14"/>
                      <w:szCs w:val="14"/>
                      <w:lang w:eastAsia="es-MX"/>
                    </w:rPr>
                    <w:t>Número de proyectos de investigación financiados con recursos externos</w:t>
                  </w:r>
                </w:p>
              </w:tc>
              <w:tc>
                <w:tcPr>
                  <w:tcW w:w="886" w:type="dxa"/>
                  <w:tcBorders>
                    <w:top w:val="nil"/>
                    <w:left w:val="nil"/>
                    <w:bottom w:val="single" w:sz="4" w:space="0" w:color="auto"/>
                    <w:right w:val="single" w:sz="4" w:space="0" w:color="auto"/>
                  </w:tcBorders>
                  <w:shd w:val="clear" w:color="auto" w:fill="auto"/>
                  <w:noWrap/>
                  <w:vAlign w:val="center"/>
                  <w:hideMark/>
                </w:tcPr>
                <w:p w:rsidR="00E11EB1"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90</w:t>
                  </w:r>
                </w:p>
              </w:tc>
              <w:tc>
                <w:tcPr>
                  <w:tcW w:w="10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1EB1" w:rsidRPr="00945E1F" w:rsidRDefault="00F13A2C" w:rsidP="00E11EB1">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0.61</w:t>
                  </w:r>
                </w:p>
              </w:tc>
              <w:tc>
                <w:tcPr>
                  <w:tcW w:w="878" w:type="dxa"/>
                  <w:tcBorders>
                    <w:top w:val="nil"/>
                    <w:left w:val="nil"/>
                    <w:bottom w:val="single" w:sz="4" w:space="0" w:color="auto"/>
                    <w:right w:val="single" w:sz="4" w:space="0" w:color="auto"/>
                  </w:tcBorders>
                  <w:shd w:val="clear" w:color="auto" w:fill="auto"/>
                  <w:noWrap/>
                  <w:vAlign w:val="center"/>
                  <w:hideMark/>
                </w:tcPr>
                <w:p w:rsidR="00E11EB1" w:rsidRPr="00945E1F" w:rsidRDefault="00F13A2C" w:rsidP="00E11EB1">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67</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1EB1" w:rsidRPr="00945E1F" w:rsidRDefault="00F13A2C" w:rsidP="00E11EB1">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0.45</w:t>
                  </w:r>
                </w:p>
              </w:tc>
              <w:tc>
                <w:tcPr>
                  <w:tcW w:w="899" w:type="dxa"/>
                  <w:tcBorders>
                    <w:top w:val="nil"/>
                    <w:left w:val="nil"/>
                    <w:bottom w:val="single" w:sz="4" w:space="0" w:color="auto"/>
                    <w:right w:val="single" w:sz="4" w:space="0" w:color="auto"/>
                  </w:tcBorders>
                  <w:shd w:val="clear" w:color="auto" w:fill="auto"/>
                  <w:noWrap/>
                  <w:vAlign w:val="center"/>
                  <w:hideMark/>
                </w:tcPr>
                <w:p w:rsidR="00E11EB1" w:rsidRPr="00945E1F" w:rsidRDefault="00F13A2C" w:rsidP="00E11EB1">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90</w:t>
                  </w:r>
                </w:p>
              </w:tc>
              <w:tc>
                <w:tcPr>
                  <w:tcW w:w="10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1EB1" w:rsidRPr="00945E1F" w:rsidRDefault="00F13A2C" w:rsidP="00E11EB1">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0.61</w:t>
                  </w:r>
                </w:p>
              </w:tc>
              <w:tc>
                <w:tcPr>
                  <w:tcW w:w="900" w:type="dxa"/>
                  <w:tcBorders>
                    <w:top w:val="nil"/>
                    <w:left w:val="nil"/>
                    <w:bottom w:val="single" w:sz="4" w:space="0" w:color="auto"/>
                    <w:right w:val="single" w:sz="4" w:space="0" w:color="auto"/>
                  </w:tcBorders>
                  <w:shd w:val="clear" w:color="auto" w:fill="auto"/>
                  <w:noWrap/>
                  <w:vAlign w:val="center"/>
                  <w:hideMark/>
                </w:tcPr>
                <w:p w:rsidR="00E11EB1"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92</w:t>
                  </w:r>
                </w:p>
              </w:tc>
              <w:tc>
                <w:tcPr>
                  <w:tcW w:w="7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1EB1" w:rsidRPr="00945E1F" w:rsidRDefault="00F13A2C" w:rsidP="00E11EB1">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0.58</w:t>
                  </w:r>
                </w:p>
              </w:tc>
            </w:tr>
            <w:tr w:rsidR="00E11EB1" w:rsidRPr="00945E1F" w:rsidTr="0087244E">
              <w:trPr>
                <w:trHeight w:val="141"/>
                <w:jc w:val="center"/>
              </w:trPr>
              <w:tc>
                <w:tcPr>
                  <w:tcW w:w="2612" w:type="dxa"/>
                  <w:tcBorders>
                    <w:top w:val="nil"/>
                    <w:left w:val="single" w:sz="4" w:space="0" w:color="auto"/>
                    <w:bottom w:val="single" w:sz="4" w:space="0" w:color="auto"/>
                    <w:right w:val="single" w:sz="4" w:space="0" w:color="auto"/>
                  </w:tcBorders>
                  <w:shd w:val="clear" w:color="auto" w:fill="auto"/>
                  <w:noWrap/>
                  <w:vAlign w:val="center"/>
                  <w:hideMark/>
                </w:tcPr>
                <w:p w:rsidR="00E11EB1" w:rsidRPr="00945E1F" w:rsidRDefault="00E11EB1" w:rsidP="009D3DF8">
                  <w:pPr>
                    <w:spacing w:after="0" w:line="240" w:lineRule="auto"/>
                    <w:jc w:val="both"/>
                    <w:rPr>
                      <w:rFonts w:ascii="Arial" w:eastAsia="Times New Roman" w:hAnsi="Arial" w:cs="Arial"/>
                      <w:color w:val="000000"/>
                      <w:sz w:val="14"/>
                      <w:szCs w:val="14"/>
                      <w:lang w:eastAsia="es-MX"/>
                    </w:rPr>
                  </w:pPr>
                  <w:r w:rsidRPr="00E11EB1">
                    <w:rPr>
                      <w:rFonts w:ascii="Arial" w:eastAsia="Times New Roman" w:hAnsi="Arial" w:cs="Arial"/>
                      <w:color w:val="000000"/>
                      <w:sz w:val="14"/>
                      <w:szCs w:val="14"/>
                      <w:lang w:eastAsia="es-MX"/>
                    </w:rPr>
                    <w:t>Número de investigadores del centro</w:t>
                  </w:r>
                </w:p>
              </w:tc>
              <w:tc>
                <w:tcPr>
                  <w:tcW w:w="886" w:type="dxa"/>
                  <w:tcBorders>
                    <w:top w:val="nil"/>
                    <w:left w:val="nil"/>
                    <w:bottom w:val="single" w:sz="4" w:space="0" w:color="auto"/>
                    <w:right w:val="single" w:sz="4" w:space="0" w:color="auto"/>
                  </w:tcBorders>
                  <w:shd w:val="clear" w:color="auto" w:fill="auto"/>
                  <w:noWrap/>
                  <w:vAlign w:val="center"/>
                  <w:hideMark/>
                </w:tcPr>
                <w:p w:rsidR="00E11EB1" w:rsidRPr="00945E1F" w:rsidRDefault="00E11EB1" w:rsidP="00E11EB1">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146</w:t>
                  </w:r>
                </w:p>
              </w:tc>
              <w:tc>
                <w:tcPr>
                  <w:tcW w:w="1012" w:type="dxa"/>
                  <w:vMerge/>
                  <w:tcBorders>
                    <w:top w:val="nil"/>
                    <w:left w:val="single" w:sz="4" w:space="0" w:color="auto"/>
                    <w:bottom w:val="single" w:sz="4" w:space="0" w:color="auto"/>
                    <w:right w:val="single" w:sz="4" w:space="0" w:color="auto"/>
                  </w:tcBorders>
                  <w:vAlign w:val="center"/>
                  <w:hideMark/>
                </w:tcPr>
                <w:p w:rsidR="00E11EB1" w:rsidRPr="00945E1F" w:rsidRDefault="00E11EB1" w:rsidP="00E11EB1">
                  <w:pPr>
                    <w:spacing w:after="0" w:line="240" w:lineRule="auto"/>
                    <w:rPr>
                      <w:rFonts w:ascii="Arial" w:eastAsia="Times New Roman" w:hAnsi="Arial" w:cs="Arial"/>
                      <w:color w:val="000000"/>
                      <w:sz w:val="14"/>
                      <w:szCs w:val="14"/>
                      <w:lang w:eastAsia="es-MX"/>
                    </w:rPr>
                  </w:pPr>
                </w:p>
              </w:tc>
              <w:tc>
                <w:tcPr>
                  <w:tcW w:w="878" w:type="dxa"/>
                  <w:tcBorders>
                    <w:top w:val="nil"/>
                    <w:left w:val="nil"/>
                    <w:bottom w:val="single" w:sz="4" w:space="0" w:color="auto"/>
                    <w:right w:val="single" w:sz="4" w:space="0" w:color="auto"/>
                  </w:tcBorders>
                  <w:shd w:val="clear" w:color="auto" w:fill="auto"/>
                  <w:noWrap/>
                  <w:vAlign w:val="center"/>
                  <w:hideMark/>
                </w:tcPr>
                <w:p w:rsidR="00E11EB1" w:rsidRPr="00945E1F" w:rsidRDefault="00E11EB1" w:rsidP="00E11EB1">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148</w:t>
                  </w:r>
                </w:p>
              </w:tc>
              <w:tc>
                <w:tcPr>
                  <w:tcW w:w="1006" w:type="dxa"/>
                  <w:vMerge/>
                  <w:tcBorders>
                    <w:top w:val="nil"/>
                    <w:left w:val="single" w:sz="4" w:space="0" w:color="auto"/>
                    <w:bottom w:val="single" w:sz="4" w:space="0" w:color="auto"/>
                    <w:right w:val="single" w:sz="4" w:space="0" w:color="auto"/>
                  </w:tcBorders>
                  <w:vAlign w:val="center"/>
                  <w:hideMark/>
                </w:tcPr>
                <w:p w:rsidR="00E11EB1" w:rsidRPr="00945E1F" w:rsidRDefault="00E11EB1" w:rsidP="00E11EB1">
                  <w:pPr>
                    <w:spacing w:after="0" w:line="240" w:lineRule="auto"/>
                    <w:rPr>
                      <w:rFonts w:ascii="Arial" w:eastAsia="Times New Roman" w:hAnsi="Arial" w:cs="Arial"/>
                      <w:color w:val="000000"/>
                      <w:sz w:val="14"/>
                      <w:szCs w:val="14"/>
                      <w:lang w:eastAsia="es-MX"/>
                    </w:rPr>
                  </w:pPr>
                </w:p>
              </w:tc>
              <w:tc>
                <w:tcPr>
                  <w:tcW w:w="899" w:type="dxa"/>
                  <w:tcBorders>
                    <w:top w:val="nil"/>
                    <w:left w:val="nil"/>
                    <w:bottom w:val="single" w:sz="4" w:space="0" w:color="auto"/>
                    <w:right w:val="single" w:sz="4" w:space="0" w:color="auto"/>
                  </w:tcBorders>
                  <w:shd w:val="clear" w:color="auto" w:fill="auto"/>
                  <w:noWrap/>
                  <w:vAlign w:val="center"/>
                  <w:hideMark/>
                </w:tcPr>
                <w:p w:rsidR="00E11EB1" w:rsidRPr="00945E1F" w:rsidRDefault="00E11EB1" w:rsidP="00E11EB1">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146</w:t>
                  </w:r>
                </w:p>
              </w:tc>
              <w:tc>
                <w:tcPr>
                  <w:tcW w:w="1027" w:type="dxa"/>
                  <w:vMerge/>
                  <w:tcBorders>
                    <w:top w:val="nil"/>
                    <w:left w:val="single" w:sz="4" w:space="0" w:color="auto"/>
                    <w:bottom w:val="single" w:sz="4" w:space="0" w:color="auto"/>
                    <w:right w:val="single" w:sz="4" w:space="0" w:color="auto"/>
                  </w:tcBorders>
                  <w:vAlign w:val="center"/>
                  <w:hideMark/>
                </w:tcPr>
                <w:p w:rsidR="00E11EB1" w:rsidRPr="00945E1F" w:rsidRDefault="00E11EB1" w:rsidP="00E11EB1">
                  <w:pPr>
                    <w:spacing w:after="0" w:line="240" w:lineRule="auto"/>
                    <w:rPr>
                      <w:rFonts w:ascii="Arial" w:eastAsia="Times New Roman" w:hAnsi="Arial" w:cs="Arial"/>
                      <w:color w:val="000000"/>
                      <w:sz w:val="14"/>
                      <w:szCs w:val="14"/>
                      <w:lang w:eastAsia="es-MX"/>
                    </w:rPr>
                  </w:pPr>
                </w:p>
              </w:tc>
              <w:tc>
                <w:tcPr>
                  <w:tcW w:w="900" w:type="dxa"/>
                  <w:tcBorders>
                    <w:top w:val="nil"/>
                    <w:left w:val="nil"/>
                    <w:bottom w:val="single" w:sz="4" w:space="0" w:color="auto"/>
                    <w:right w:val="single" w:sz="4" w:space="0" w:color="auto"/>
                  </w:tcBorders>
                  <w:shd w:val="clear" w:color="auto" w:fill="auto"/>
                  <w:noWrap/>
                  <w:vAlign w:val="center"/>
                  <w:hideMark/>
                </w:tcPr>
                <w:p w:rsidR="00E11EB1" w:rsidRPr="00945E1F" w:rsidRDefault="00E11EB1" w:rsidP="00E11EB1">
                  <w:pPr>
                    <w:spacing w:after="0" w:line="240" w:lineRule="auto"/>
                    <w:jc w:val="center"/>
                    <w:rPr>
                      <w:rFonts w:ascii="Arial" w:eastAsia="Times New Roman" w:hAnsi="Arial" w:cs="Arial"/>
                      <w:color w:val="000000"/>
                      <w:sz w:val="14"/>
                      <w:szCs w:val="14"/>
                      <w:lang w:eastAsia="es-MX"/>
                    </w:rPr>
                  </w:pPr>
                  <w:r w:rsidRPr="00945E1F">
                    <w:rPr>
                      <w:rFonts w:ascii="Arial" w:eastAsia="Times New Roman" w:hAnsi="Arial" w:cs="Arial"/>
                      <w:color w:val="000000"/>
                      <w:sz w:val="14"/>
                      <w:szCs w:val="14"/>
                      <w:lang w:eastAsia="es-MX"/>
                    </w:rPr>
                    <w:t>158</w:t>
                  </w:r>
                </w:p>
              </w:tc>
              <w:tc>
                <w:tcPr>
                  <w:tcW w:w="744" w:type="dxa"/>
                  <w:vMerge/>
                  <w:tcBorders>
                    <w:top w:val="nil"/>
                    <w:left w:val="single" w:sz="4" w:space="0" w:color="auto"/>
                    <w:bottom w:val="single" w:sz="4" w:space="0" w:color="000000"/>
                    <w:right w:val="single" w:sz="4" w:space="0" w:color="auto"/>
                  </w:tcBorders>
                  <w:vAlign w:val="center"/>
                  <w:hideMark/>
                </w:tcPr>
                <w:p w:rsidR="00E11EB1" w:rsidRPr="00945E1F" w:rsidRDefault="00E11EB1" w:rsidP="00E11EB1">
                  <w:pPr>
                    <w:spacing w:after="0" w:line="240" w:lineRule="auto"/>
                    <w:rPr>
                      <w:rFonts w:ascii="Arial" w:eastAsia="Times New Roman" w:hAnsi="Arial" w:cs="Arial"/>
                      <w:color w:val="000000"/>
                      <w:sz w:val="14"/>
                      <w:szCs w:val="14"/>
                      <w:lang w:eastAsia="es-MX"/>
                    </w:rPr>
                  </w:pPr>
                </w:p>
              </w:tc>
            </w:tr>
          </w:tbl>
          <w:p w:rsidR="00E11EB1" w:rsidRDefault="00E11EB1" w:rsidP="00351CB1">
            <w:pPr>
              <w:pStyle w:val="Prrafodelista"/>
              <w:ind w:right="143"/>
              <w:jc w:val="both"/>
            </w:pPr>
          </w:p>
          <w:p w:rsidR="0051482E" w:rsidRDefault="0051482E" w:rsidP="0051482E">
            <w:pPr>
              <w:pStyle w:val="Prrafodelista"/>
              <w:ind w:right="143"/>
              <w:jc w:val="both"/>
              <w:rPr>
                <w:b/>
              </w:rPr>
            </w:pPr>
          </w:p>
          <w:p w:rsidR="0060340E" w:rsidRDefault="0060340E" w:rsidP="00A469FE">
            <w:pPr>
              <w:pStyle w:val="Prrafodelista"/>
              <w:numPr>
                <w:ilvl w:val="0"/>
                <w:numId w:val="17"/>
              </w:numPr>
              <w:ind w:right="143"/>
              <w:jc w:val="both"/>
              <w:rPr>
                <w:b/>
              </w:rPr>
            </w:pPr>
            <w:r>
              <w:rPr>
                <w:b/>
              </w:rPr>
              <w:t xml:space="preserve">Formación de Recursos Humanos </w:t>
            </w:r>
          </w:p>
          <w:p w:rsidR="00CB4372" w:rsidRDefault="00CB4372" w:rsidP="0060340E">
            <w:pPr>
              <w:pStyle w:val="Prrafodelista"/>
              <w:ind w:right="143"/>
              <w:jc w:val="both"/>
              <w:rPr>
                <w:b/>
              </w:rPr>
            </w:pPr>
          </w:p>
          <w:p w:rsidR="0060340E" w:rsidRDefault="0060340E" w:rsidP="0060340E">
            <w:pPr>
              <w:pStyle w:val="Prrafodelista"/>
              <w:numPr>
                <w:ilvl w:val="0"/>
                <w:numId w:val="21"/>
              </w:numPr>
              <w:ind w:right="143"/>
              <w:jc w:val="both"/>
              <w:rPr>
                <w:b/>
              </w:rPr>
            </w:pPr>
            <w:r>
              <w:rPr>
                <w:b/>
              </w:rPr>
              <w:t>Calidad de los Posgrados</w:t>
            </w:r>
          </w:p>
          <w:p w:rsidR="00880EAA" w:rsidRDefault="00880EAA" w:rsidP="00880EAA">
            <w:pPr>
              <w:pStyle w:val="Prrafodelista"/>
              <w:ind w:right="143"/>
              <w:jc w:val="both"/>
            </w:pPr>
            <w:r>
              <w:t xml:space="preserve">Durante el segundo semestre del ejercicio 2018, </w:t>
            </w:r>
            <w:r w:rsidR="00FD7D0D">
              <w:t xml:space="preserve">se observa que </w:t>
            </w:r>
            <w:r>
              <w:t xml:space="preserve">no </w:t>
            </w:r>
            <w:r w:rsidR="00FD7D0D">
              <w:t>se alcanzó</w:t>
            </w:r>
            <w:r>
              <w:t xml:space="preserve"> la meta comprometida </w:t>
            </w:r>
            <w:r w:rsidR="00FD7D0D">
              <w:t xml:space="preserve">de 4 programas registrados en el PNPC </w:t>
            </w:r>
            <w:r>
              <w:t xml:space="preserve">ya que solo se consolidaron los programas con folio No. 000851 “Doctorado en Ciencias en la Especialidad de Astrofísica” </w:t>
            </w:r>
            <w:r w:rsidR="00FD7D0D">
              <w:t xml:space="preserve">y folio No. </w:t>
            </w:r>
            <w:r>
              <w:t>001640 “</w:t>
            </w:r>
            <w:r w:rsidR="00FD7D0D">
              <w:t>Maestría</w:t>
            </w:r>
            <w:r>
              <w:t xml:space="preserve"> en Ciencias en el Áreas de Ciencias Computacionales”</w:t>
            </w:r>
            <w:r w:rsidR="00FD7D0D">
              <w:t xml:space="preserve"> con vigencia al 31 de diciembre de 2019. </w:t>
            </w:r>
            <w:r>
              <w:t xml:space="preserve"> </w:t>
            </w:r>
          </w:p>
          <w:p w:rsidR="00F13A2C" w:rsidRDefault="00F13A2C" w:rsidP="00880EAA">
            <w:pPr>
              <w:pStyle w:val="Prrafodelista"/>
              <w:ind w:right="143"/>
              <w:jc w:val="both"/>
            </w:pP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F13A2C" w:rsidRPr="00945E1F" w:rsidTr="0087244E">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F13A2C" w:rsidRPr="00945E1F" w:rsidTr="0087244E">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F13A2C" w:rsidRPr="00945E1F" w:rsidRDefault="00F13A2C" w:rsidP="00F13A2C">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sidR="00E72540">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sidR="00E72540">
                    <w:rPr>
                      <w:rFonts w:ascii="Arial" w:eastAsia="Times New Roman" w:hAnsi="Arial" w:cs="Arial"/>
                      <w:b/>
                      <w:bCs/>
                      <w:color w:val="000000"/>
                      <w:sz w:val="14"/>
                      <w:szCs w:val="14"/>
                      <w:lang w:eastAsia="es-MX"/>
                    </w:rPr>
                    <w:t xml:space="preserve"> SEMESTRE</w:t>
                  </w:r>
                </w:p>
              </w:tc>
            </w:tr>
            <w:tr w:rsidR="00F13A2C" w:rsidRPr="00945E1F" w:rsidTr="00F13A2C">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F13A2C" w:rsidRPr="00945E1F" w:rsidRDefault="00F13A2C" w:rsidP="00F13A2C">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F13A2C" w:rsidRPr="00945E1F" w:rsidTr="0087244E">
              <w:trPr>
                <w:trHeight w:val="209"/>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A2C" w:rsidRPr="00945E1F" w:rsidRDefault="00F13A2C" w:rsidP="009D3DF8">
                  <w:pPr>
                    <w:spacing w:after="0" w:line="240" w:lineRule="auto"/>
                    <w:jc w:val="both"/>
                    <w:rPr>
                      <w:rFonts w:ascii="Arial" w:eastAsia="Times New Roman" w:hAnsi="Arial" w:cs="Arial"/>
                      <w:color w:val="000000"/>
                      <w:sz w:val="14"/>
                      <w:szCs w:val="14"/>
                      <w:lang w:eastAsia="es-MX"/>
                    </w:rPr>
                  </w:pPr>
                  <w:r w:rsidRPr="00F13A2C">
                    <w:rPr>
                      <w:rFonts w:ascii="Arial" w:eastAsia="Times New Roman" w:hAnsi="Arial" w:cs="Arial"/>
                      <w:color w:val="000000"/>
                      <w:sz w:val="14"/>
                      <w:szCs w:val="14"/>
                      <w:lang w:eastAsia="es-MX"/>
                    </w:rPr>
                    <w:t>Número de programas registrados en el PNPC de reciente creación</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12" w:type="dxa"/>
                  <w:vMerge w:val="restart"/>
                  <w:tcBorders>
                    <w:top w:val="single" w:sz="4" w:space="0" w:color="auto"/>
                    <w:left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0.88</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w:t>
                  </w:r>
                </w:p>
              </w:tc>
              <w:tc>
                <w:tcPr>
                  <w:tcW w:w="1006" w:type="dxa"/>
                  <w:vMerge w:val="restart"/>
                  <w:tcBorders>
                    <w:top w:val="single" w:sz="4" w:space="0" w:color="auto"/>
                    <w:left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0.80</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27" w:type="dxa"/>
                  <w:vMerge w:val="restart"/>
                  <w:tcBorders>
                    <w:top w:val="single" w:sz="4" w:space="0" w:color="auto"/>
                    <w:left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w:t>
                  </w:r>
                </w:p>
              </w:tc>
              <w:tc>
                <w:tcPr>
                  <w:tcW w:w="744" w:type="dxa"/>
                  <w:vMerge w:val="restart"/>
                  <w:tcBorders>
                    <w:top w:val="single" w:sz="4" w:space="0" w:color="auto"/>
                    <w:left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0.86</w:t>
                  </w:r>
                </w:p>
              </w:tc>
            </w:tr>
            <w:tr w:rsidR="00F13A2C" w:rsidRPr="00945E1F" w:rsidTr="0087244E">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A2C" w:rsidRPr="00945E1F" w:rsidRDefault="00F13A2C" w:rsidP="009D3DF8">
                  <w:pPr>
                    <w:spacing w:after="0" w:line="240" w:lineRule="auto"/>
                    <w:jc w:val="both"/>
                    <w:rPr>
                      <w:rFonts w:ascii="Arial" w:eastAsia="Times New Roman" w:hAnsi="Arial" w:cs="Arial"/>
                      <w:color w:val="000000"/>
                      <w:sz w:val="14"/>
                      <w:szCs w:val="14"/>
                      <w:lang w:eastAsia="es-MX"/>
                    </w:rPr>
                  </w:pPr>
                  <w:r w:rsidRPr="00F13A2C">
                    <w:rPr>
                      <w:rFonts w:ascii="Arial" w:eastAsia="Times New Roman" w:hAnsi="Arial" w:cs="Arial"/>
                      <w:color w:val="000000"/>
                      <w:sz w:val="14"/>
                      <w:szCs w:val="14"/>
                      <w:lang w:eastAsia="es-MX"/>
                    </w:rPr>
                    <w:t>Número de programas registrados en el PNPC en desarrollo</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12" w:type="dxa"/>
                  <w:vMerge/>
                  <w:tcBorders>
                    <w:left w:val="single" w:sz="4" w:space="0" w:color="auto"/>
                    <w:right w:val="single" w:sz="4" w:space="0" w:color="auto"/>
                  </w:tcBorders>
                  <w:vAlign w:val="center"/>
                  <w:hideMark/>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06"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27"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744" w:type="dxa"/>
                  <w:vMerge/>
                  <w:tcBorders>
                    <w:left w:val="single" w:sz="4" w:space="0" w:color="auto"/>
                    <w:right w:val="single" w:sz="4" w:space="0" w:color="auto"/>
                  </w:tcBorders>
                  <w:vAlign w:val="center"/>
                  <w:hideMark/>
                </w:tcPr>
                <w:p w:rsidR="00F13A2C" w:rsidRPr="00945E1F" w:rsidRDefault="00F13A2C" w:rsidP="00F13A2C">
                  <w:pPr>
                    <w:spacing w:after="0" w:line="240" w:lineRule="auto"/>
                    <w:rPr>
                      <w:rFonts w:ascii="Arial" w:eastAsia="Times New Roman" w:hAnsi="Arial" w:cs="Arial"/>
                      <w:color w:val="000000"/>
                      <w:sz w:val="14"/>
                      <w:szCs w:val="14"/>
                      <w:lang w:eastAsia="es-MX"/>
                    </w:rPr>
                  </w:pPr>
                </w:p>
              </w:tc>
            </w:tr>
            <w:tr w:rsidR="00F13A2C" w:rsidRPr="00945E1F" w:rsidTr="0087244E">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945E1F" w:rsidRDefault="00F13A2C" w:rsidP="009D3DF8">
                  <w:pPr>
                    <w:spacing w:after="0" w:line="240" w:lineRule="auto"/>
                    <w:jc w:val="both"/>
                    <w:rPr>
                      <w:rFonts w:ascii="Arial" w:eastAsia="Times New Roman" w:hAnsi="Arial" w:cs="Arial"/>
                      <w:color w:val="000000"/>
                      <w:sz w:val="14"/>
                      <w:szCs w:val="14"/>
                      <w:lang w:eastAsia="es-MX"/>
                    </w:rPr>
                  </w:pPr>
                  <w:r w:rsidRPr="00F13A2C">
                    <w:rPr>
                      <w:rFonts w:ascii="Arial" w:eastAsia="Times New Roman" w:hAnsi="Arial" w:cs="Arial"/>
                      <w:color w:val="000000"/>
                      <w:sz w:val="14"/>
                      <w:szCs w:val="14"/>
                      <w:lang w:eastAsia="es-MX"/>
                    </w:rPr>
                    <w:t>Número de programas registrados en el PNPC consolidado</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w:t>
                  </w:r>
                </w:p>
              </w:tc>
              <w:tc>
                <w:tcPr>
                  <w:tcW w:w="1012"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w:t>
                  </w:r>
                </w:p>
              </w:tc>
              <w:tc>
                <w:tcPr>
                  <w:tcW w:w="1006"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w:t>
                  </w:r>
                </w:p>
              </w:tc>
              <w:tc>
                <w:tcPr>
                  <w:tcW w:w="1027"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w:t>
                  </w:r>
                </w:p>
              </w:tc>
              <w:tc>
                <w:tcPr>
                  <w:tcW w:w="744"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r>
            <w:tr w:rsidR="00F13A2C" w:rsidRPr="00945E1F" w:rsidTr="0087244E">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E11EB1" w:rsidRDefault="00F13A2C" w:rsidP="009D3DF8">
                  <w:pPr>
                    <w:spacing w:after="0" w:line="240" w:lineRule="auto"/>
                    <w:jc w:val="both"/>
                    <w:rPr>
                      <w:rFonts w:ascii="Arial" w:eastAsia="Times New Roman" w:hAnsi="Arial" w:cs="Arial"/>
                      <w:color w:val="000000"/>
                      <w:sz w:val="14"/>
                      <w:szCs w:val="14"/>
                      <w:lang w:eastAsia="es-MX"/>
                    </w:rPr>
                  </w:pPr>
                  <w:r w:rsidRPr="00F13A2C">
                    <w:rPr>
                      <w:rFonts w:ascii="Arial" w:eastAsia="Times New Roman" w:hAnsi="Arial" w:cs="Arial"/>
                      <w:color w:val="000000"/>
                      <w:sz w:val="14"/>
                      <w:szCs w:val="14"/>
                      <w:lang w:eastAsia="es-MX"/>
                    </w:rPr>
                    <w:t>Número de programas registrados en el PNPC de competencia internacional</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w:t>
                  </w:r>
                </w:p>
              </w:tc>
              <w:tc>
                <w:tcPr>
                  <w:tcW w:w="1012"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w:t>
                  </w:r>
                </w:p>
              </w:tc>
              <w:tc>
                <w:tcPr>
                  <w:tcW w:w="1006"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w:t>
                  </w:r>
                </w:p>
              </w:tc>
              <w:tc>
                <w:tcPr>
                  <w:tcW w:w="1027"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w:t>
                  </w:r>
                </w:p>
              </w:tc>
              <w:tc>
                <w:tcPr>
                  <w:tcW w:w="744" w:type="dxa"/>
                  <w:vMerge/>
                  <w:tcBorders>
                    <w:left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r>
            <w:tr w:rsidR="00F13A2C" w:rsidRPr="00945E1F" w:rsidTr="0087244E">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E11EB1" w:rsidRDefault="00F13A2C" w:rsidP="009D3DF8">
                  <w:pPr>
                    <w:spacing w:after="0" w:line="240" w:lineRule="auto"/>
                    <w:jc w:val="both"/>
                    <w:rPr>
                      <w:rFonts w:ascii="Arial" w:eastAsia="Times New Roman" w:hAnsi="Arial" w:cs="Arial"/>
                      <w:color w:val="000000"/>
                      <w:sz w:val="14"/>
                      <w:szCs w:val="14"/>
                      <w:lang w:eastAsia="es-MX"/>
                    </w:rPr>
                  </w:pPr>
                  <w:r w:rsidRPr="00F13A2C">
                    <w:rPr>
                      <w:rFonts w:ascii="Arial" w:eastAsia="Times New Roman" w:hAnsi="Arial" w:cs="Arial"/>
                      <w:color w:val="000000"/>
                      <w:sz w:val="14"/>
                      <w:szCs w:val="14"/>
                      <w:lang w:eastAsia="es-MX"/>
                    </w:rPr>
                    <w:t>Número de programas de posgrado reconocidos por CONACYT en el PNPC</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13A2C"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w:t>
                  </w:r>
                </w:p>
              </w:tc>
              <w:tc>
                <w:tcPr>
                  <w:tcW w:w="1012" w:type="dxa"/>
                  <w:vMerge/>
                  <w:tcBorders>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w:t>
                  </w:r>
                </w:p>
              </w:tc>
              <w:tc>
                <w:tcPr>
                  <w:tcW w:w="1006" w:type="dxa"/>
                  <w:vMerge/>
                  <w:tcBorders>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w:t>
                  </w:r>
                </w:p>
              </w:tc>
              <w:tc>
                <w:tcPr>
                  <w:tcW w:w="1027" w:type="dxa"/>
                  <w:vMerge/>
                  <w:tcBorders>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w:t>
                  </w:r>
                </w:p>
              </w:tc>
              <w:tc>
                <w:tcPr>
                  <w:tcW w:w="744" w:type="dxa"/>
                  <w:vMerge/>
                  <w:tcBorders>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r>
          </w:tbl>
          <w:p w:rsidR="001C6206" w:rsidRPr="00F13A2C" w:rsidRDefault="001C6206" w:rsidP="00F13A2C">
            <w:pPr>
              <w:rPr>
                <w:b/>
              </w:rPr>
            </w:pPr>
          </w:p>
          <w:p w:rsidR="0060340E" w:rsidRPr="00CB4372" w:rsidRDefault="0060340E" w:rsidP="0060340E">
            <w:pPr>
              <w:pStyle w:val="Prrafodelista"/>
              <w:numPr>
                <w:ilvl w:val="0"/>
                <w:numId w:val="21"/>
              </w:numPr>
              <w:ind w:right="143"/>
              <w:jc w:val="both"/>
              <w:rPr>
                <w:b/>
              </w:rPr>
            </w:pPr>
            <w:r>
              <w:rPr>
                <w:b/>
              </w:rPr>
              <w:t>Generación de Recursos Humanos Especializados</w:t>
            </w:r>
          </w:p>
          <w:p w:rsidR="00866E44" w:rsidRDefault="00CB4372" w:rsidP="00866E44">
            <w:pPr>
              <w:pStyle w:val="Prrafodelista"/>
              <w:ind w:right="143"/>
              <w:jc w:val="both"/>
            </w:pPr>
            <w:r>
              <w:t xml:space="preserve">En </w:t>
            </w:r>
            <w:r w:rsidR="00FD7D0D">
              <w:t>el primer semestre del e</w:t>
            </w:r>
            <w:r w:rsidR="007D5578">
              <w:t>jercicio 2018</w:t>
            </w:r>
            <w:r>
              <w:t>,</w:t>
            </w:r>
            <w:r w:rsidR="00F6338D">
              <w:t xml:space="preserve"> se graduaron 21 alumnos en programas de maestría y 22 alumnos en programas de doctorado, sin alcanzar la meta comprometida de 65 alumnos graduados en programas de maestría y 35 alumnos en programas de doctorado. Y durante el segundo semestre de 2018, se graduaron 62 alumnos en programas de maestría y 33 alumnos en programas de doctorado, sin alcanzar la meta comprometida de 65 alumnos graduados en programas de maestría y 35 alumnos en programas de doctorado. Por lo anterior, se observ</w:t>
            </w:r>
            <w:r w:rsidR="00970135">
              <w:t xml:space="preserve">a </w:t>
            </w:r>
            <w:r w:rsidR="00F6338D">
              <w:t>que durante el primer</w:t>
            </w:r>
            <w:r w:rsidR="00970135">
              <w:t xml:space="preserve"> y segundo </w:t>
            </w:r>
            <w:r w:rsidR="00F6338D">
              <w:t xml:space="preserve">semestre </w:t>
            </w:r>
            <w:r w:rsidR="00970135">
              <w:t xml:space="preserve">del ejercicio 2018, no se alcanzaron las mestas </w:t>
            </w:r>
            <w:r w:rsidR="004E6DB6">
              <w:t>establecidas,</w:t>
            </w:r>
            <w:r w:rsidR="0051482E">
              <w:t xml:space="preserve"> aunque</w:t>
            </w:r>
            <w:r w:rsidR="00970135">
              <w:t xml:space="preserve"> es importante señalar que el Instituto </w:t>
            </w:r>
            <w:r w:rsidR="0051482E">
              <w:t xml:space="preserve">establece que </w:t>
            </w:r>
            <w:r w:rsidR="00970135">
              <w:t xml:space="preserve">busca implementar en los procesos mejores mecanismos de reclutamiento y selección de estudiantes, la impartición de cursos </w:t>
            </w:r>
            <w:r w:rsidR="00A41074">
              <w:t xml:space="preserve">propedéuticos en línea, y la mejora en las técnicas de retención fundamentales en un adecuado proceso de enseñanza-aprendizaje. </w:t>
            </w:r>
          </w:p>
          <w:p w:rsidR="00866E44" w:rsidRDefault="00866E44" w:rsidP="00866E44">
            <w:pPr>
              <w:ind w:right="143"/>
              <w:jc w:val="both"/>
            </w:pPr>
          </w:p>
          <w:p w:rsidR="00866E44" w:rsidRDefault="00866E44" w:rsidP="00866E44">
            <w:pPr>
              <w:ind w:right="143"/>
              <w:jc w:val="both"/>
            </w:pPr>
          </w:p>
          <w:p w:rsidR="00866E44" w:rsidRDefault="00866E44" w:rsidP="00866E44">
            <w:pPr>
              <w:ind w:right="143"/>
              <w:jc w:val="both"/>
            </w:pPr>
          </w:p>
          <w:p w:rsidR="00866E44" w:rsidRDefault="00866E44" w:rsidP="00866E44">
            <w:pPr>
              <w:ind w:right="143"/>
              <w:jc w:val="both"/>
            </w:pPr>
          </w:p>
          <w:p w:rsidR="00866E44" w:rsidRDefault="00866E44" w:rsidP="00866E44">
            <w:pPr>
              <w:ind w:right="143"/>
              <w:jc w:val="both"/>
            </w:pP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F13A2C" w:rsidRPr="00945E1F" w:rsidTr="0087244E">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F13A2C" w:rsidRPr="00945E1F" w:rsidTr="0087244E">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F13A2C" w:rsidRPr="00945E1F" w:rsidRDefault="00F13A2C" w:rsidP="00F13A2C">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sidR="00E72540">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sidR="00E72540">
                    <w:rPr>
                      <w:rFonts w:ascii="Arial" w:eastAsia="Times New Roman" w:hAnsi="Arial" w:cs="Arial"/>
                      <w:b/>
                      <w:bCs/>
                      <w:color w:val="000000"/>
                      <w:sz w:val="14"/>
                      <w:szCs w:val="14"/>
                      <w:lang w:eastAsia="es-MX"/>
                    </w:rPr>
                    <w:t xml:space="preserve"> SEMESTRE</w:t>
                  </w:r>
                </w:p>
              </w:tc>
            </w:tr>
            <w:tr w:rsidR="00F13A2C" w:rsidRPr="00945E1F" w:rsidTr="0087244E">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F13A2C" w:rsidRPr="00945E1F" w:rsidRDefault="00F13A2C" w:rsidP="00F13A2C">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F13A2C" w:rsidRPr="00945E1F" w:rsidRDefault="00F13A2C" w:rsidP="00F13A2C">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F13A2C" w:rsidRPr="00945E1F" w:rsidTr="00F13A2C">
              <w:trPr>
                <w:trHeight w:val="209"/>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945E1F" w:rsidRDefault="00F13A2C" w:rsidP="009D3DF8">
                  <w:pPr>
                    <w:spacing w:after="0" w:line="240" w:lineRule="auto"/>
                    <w:jc w:val="both"/>
                    <w:rPr>
                      <w:rFonts w:ascii="Arial" w:eastAsia="Times New Roman" w:hAnsi="Arial" w:cs="Arial"/>
                      <w:color w:val="000000"/>
                      <w:sz w:val="14"/>
                      <w:szCs w:val="14"/>
                      <w:lang w:eastAsia="es-MX"/>
                    </w:rPr>
                  </w:pPr>
                  <w:r w:rsidRPr="00F13A2C">
                    <w:rPr>
                      <w:rFonts w:ascii="Arial" w:eastAsia="Times New Roman" w:hAnsi="Arial" w:cs="Arial"/>
                      <w:color w:val="000000"/>
                      <w:sz w:val="14"/>
                      <w:szCs w:val="14"/>
                      <w:lang w:eastAsia="es-MX"/>
                    </w:rPr>
                    <w:t>Número de alumnos graduados en programas de especialidad del PNPC</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0.68</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0.29</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0.68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0.60</w:t>
                  </w:r>
                </w:p>
              </w:tc>
            </w:tr>
            <w:tr w:rsidR="00F13A2C" w:rsidRPr="00945E1F" w:rsidTr="00F13A2C">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945E1F" w:rsidRDefault="00F13A2C" w:rsidP="009D3DF8">
                  <w:pPr>
                    <w:spacing w:after="0" w:line="240" w:lineRule="auto"/>
                    <w:jc w:val="both"/>
                    <w:rPr>
                      <w:rFonts w:ascii="Arial" w:eastAsia="Times New Roman" w:hAnsi="Arial" w:cs="Arial"/>
                      <w:color w:val="000000"/>
                      <w:sz w:val="14"/>
                      <w:szCs w:val="14"/>
                      <w:lang w:eastAsia="es-MX"/>
                    </w:rPr>
                  </w:pPr>
                  <w:r w:rsidRPr="00F13A2C">
                    <w:rPr>
                      <w:rFonts w:ascii="Arial" w:eastAsia="Times New Roman" w:hAnsi="Arial" w:cs="Arial"/>
                      <w:color w:val="000000"/>
                      <w:sz w:val="14"/>
                      <w:szCs w:val="14"/>
                      <w:lang w:eastAsia="es-MX"/>
                    </w:rPr>
                    <w:t>Número de alumnos graduados en programas de maestría del PNPC</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65</w:t>
                  </w: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21</w:t>
                  </w:r>
                </w:p>
              </w:tc>
              <w:tc>
                <w:tcPr>
                  <w:tcW w:w="1006"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65</w:t>
                  </w:r>
                </w:p>
              </w:tc>
              <w:tc>
                <w:tcPr>
                  <w:tcW w:w="1027"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62</w:t>
                  </w: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F13A2C" w:rsidRPr="00945E1F" w:rsidRDefault="00F13A2C" w:rsidP="00F13A2C">
                  <w:pPr>
                    <w:spacing w:after="0" w:line="240" w:lineRule="auto"/>
                    <w:rPr>
                      <w:rFonts w:ascii="Arial" w:eastAsia="Times New Roman" w:hAnsi="Arial" w:cs="Arial"/>
                      <w:color w:val="000000"/>
                      <w:sz w:val="14"/>
                      <w:szCs w:val="14"/>
                      <w:lang w:eastAsia="es-MX"/>
                    </w:rPr>
                  </w:pPr>
                </w:p>
              </w:tc>
            </w:tr>
            <w:tr w:rsidR="00F13A2C" w:rsidRPr="00945E1F" w:rsidTr="00F13A2C">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945E1F" w:rsidRDefault="00F13A2C" w:rsidP="009D3DF8">
                  <w:pPr>
                    <w:spacing w:after="0" w:line="240" w:lineRule="auto"/>
                    <w:jc w:val="both"/>
                    <w:rPr>
                      <w:rFonts w:ascii="Arial" w:eastAsia="Times New Roman" w:hAnsi="Arial" w:cs="Arial"/>
                      <w:color w:val="000000"/>
                      <w:sz w:val="14"/>
                      <w:szCs w:val="14"/>
                      <w:lang w:eastAsia="es-MX"/>
                    </w:rPr>
                  </w:pPr>
                  <w:r w:rsidRPr="00F13A2C">
                    <w:rPr>
                      <w:rFonts w:ascii="Arial" w:eastAsia="Times New Roman" w:hAnsi="Arial" w:cs="Arial"/>
                      <w:color w:val="000000"/>
                      <w:sz w:val="14"/>
                      <w:szCs w:val="14"/>
                      <w:lang w:eastAsia="es-MX"/>
                    </w:rPr>
                    <w:t>Número de alumnos graduados en programas de doctorado del PNPC</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w:t>
                  </w:r>
                </w:p>
              </w:tc>
              <w:tc>
                <w:tcPr>
                  <w:tcW w:w="1012"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22</w:t>
                  </w:r>
                </w:p>
              </w:tc>
              <w:tc>
                <w:tcPr>
                  <w:tcW w:w="1006"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w:t>
                  </w:r>
                </w:p>
              </w:tc>
              <w:tc>
                <w:tcPr>
                  <w:tcW w:w="1027"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w:t>
                  </w:r>
                </w:p>
              </w:tc>
              <w:tc>
                <w:tcPr>
                  <w:tcW w:w="744"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r>
            <w:tr w:rsidR="00F13A2C" w:rsidRPr="00945E1F" w:rsidTr="00F13A2C">
              <w:trPr>
                <w:trHeight w:val="302"/>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A2C" w:rsidRPr="00E11EB1" w:rsidRDefault="00F13A2C" w:rsidP="009D3DF8">
                  <w:pPr>
                    <w:spacing w:after="0" w:line="240" w:lineRule="auto"/>
                    <w:jc w:val="both"/>
                    <w:rPr>
                      <w:rFonts w:ascii="Arial" w:eastAsia="Times New Roman" w:hAnsi="Arial" w:cs="Arial"/>
                      <w:color w:val="000000"/>
                      <w:sz w:val="14"/>
                      <w:szCs w:val="14"/>
                      <w:lang w:eastAsia="es-MX"/>
                    </w:rPr>
                  </w:pPr>
                  <w:r w:rsidRPr="00F13A2C">
                    <w:rPr>
                      <w:rFonts w:ascii="Arial" w:eastAsia="Times New Roman" w:hAnsi="Arial" w:cs="Arial"/>
                      <w:color w:val="000000"/>
                      <w:sz w:val="14"/>
                      <w:szCs w:val="14"/>
                      <w:lang w:eastAsia="es-MX"/>
                    </w:rPr>
                    <w:t>Número de investigadores del centro</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146</w:t>
                  </w:r>
                </w:p>
              </w:tc>
              <w:tc>
                <w:tcPr>
                  <w:tcW w:w="1012"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F13A2C"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148</w:t>
                  </w:r>
                </w:p>
              </w:tc>
              <w:tc>
                <w:tcPr>
                  <w:tcW w:w="1006"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146</w:t>
                  </w:r>
                </w:p>
              </w:tc>
              <w:tc>
                <w:tcPr>
                  <w:tcW w:w="1027"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13A2C" w:rsidRPr="00945E1F" w:rsidRDefault="009D3DF8" w:rsidP="00F13A2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158</w:t>
                  </w:r>
                </w:p>
              </w:tc>
              <w:tc>
                <w:tcPr>
                  <w:tcW w:w="744" w:type="dxa"/>
                  <w:vMerge/>
                  <w:tcBorders>
                    <w:top w:val="single" w:sz="4" w:space="0" w:color="auto"/>
                    <w:left w:val="single" w:sz="4" w:space="0" w:color="auto"/>
                    <w:bottom w:val="single" w:sz="4" w:space="0" w:color="auto"/>
                    <w:right w:val="single" w:sz="4" w:space="0" w:color="auto"/>
                  </w:tcBorders>
                  <w:vAlign w:val="center"/>
                </w:tcPr>
                <w:p w:rsidR="00F13A2C" w:rsidRPr="00945E1F" w:rsidRDefault="00F13A2C" w:rsidP="00F13A2C">
                  <w:pPr>
                    <w:spacing w:after="0" w:line="240" w:lineRule="auto"/>
                    <w:rPr>
                      <w:rFonts w:ascii="Arial" w:eastAsia="Times New Roman" w:hAnsi="Arial" w:cs="Arial"/>
                      <w:color w:val="000000"/>
                      <w:sz w:val="14"/>
                      <w:szCs w:val="14"/>
                      <w:lang w:eastAsia="es-MX"/>
                    </w:rPr>
                  </w:pPr>
                </w:p>
              </w:tc>
            </w:tr>
          </w:tbl>
          <w:p w:rsidR="00F13A2C" w:rsidRDefault="00F13A2C" w:rsidP="00970135">
            <w:pPr>
              <w:pStyle w:val="Prrafodelista"/>
              <w:ind w:right="143"/>
              <w:jc w:val="both"/>
            </w:pPr>
          </w:p>
          <w:p w:rsidR="0060340E" w:rsidRDefault="0060340E" w:rsidP="00A469FE">
            <w:pPr>
              <w:pStyle w:val="Prrafodelista"/>
              <w:numPr>
                <w:ilvl w:val="0"/>
                <w:numId w:val="17"/>
              </w:numPr>
              <w:ind w:right="143"/>
              <w:jc w:val="both"/>
              <w:rPr>
                <w:b/>
              </w:rPr>
            </w:pPr>
            <w:r>
              <w:rPr>
                <w:b/>
              </w:rPr>
              <w:t xml:space="preserve">Vinculación </w:t>
            </w:r>
          </w:p>
          <w:p w:rsidR="004207D0" w:rsidRDefault="004207D0" w:rsidP="004207D0">
            <w:pPr>
              <w:pStyle w:val="Prrafodelista"/>
              <w:ind w:right="143"/>
              <w:jc w:val="both"/>
              <w:rPr>
                <w:b/>
              </w:rPr>
            </w:pPr>
          </w:p>
          <w:p w:rsidR="00E62BCE" w:rsidRDefault="00E62BCE" w:rsidP="004207D0">
            <w:pPr>
              <w:pStyle w:val="Prrafodelista"/>
              <w:numPr>
                <w:ilvl w:val="0"/>
                <w:numId w:val="22"/>
              </w:numPr>
              <w:ind w:right="143"/>
              <w:jc w:val="both"/>
              <w:rPr>
                <w:b/>
              </w:rPr>
            </w:pPr>
            <w:r>
              <w:rPr>
                <w:b/>
              </w:rPr>
              <w:t>Proyectos Interinstitucionales</w:t>
            </w:r>
          </w:p>
          <w:p w:rsidR="00E62BCE" w:rsidRDefault="00A41074" w:rsidP="00A41074">
            <w:pPr>
              <w:pStyle w:val="Prrafodelista"/>
              <w:ind w:right="143"/>
              <w:jc w:val="both"/>
            </w:pPr>
            <w:r>
              <w:t xml:space="preserve">Durante el primer semestre del ejercicio 2018, se realizaron </w:t>
            </w:r>
            <w:r w:rsidR="007B7597">
              <w:t>62 proyectos interinstitucionales</w:t>
            </w:r>
            <w:r>
              <w:t xml:space="preserve"> con 1</w:t>
            </w:r>
            <w:r w:rsidR="007B7597">
              <w:t>29 proyectos de investigación</w:t>
            </w:r>
            <w:r>
              <w:t>,</w:t>
            </w:r>
            <w:r w:rsidR="007B7597">
              <w:t xml:space="preserve"> con una meta </w:t>
            </w:r>
            <w:r>
              <w:t xml:space="preserve">comprometida de </w:t>
            </w:r>
            <w:r w:rsidR="007B7597">
              <w:t>27 proyectos interinstitucionales con 170 proyectos de investigación</w:t>
            </w:r>
            <w:r>
              <w:t>. Sin embargo, para el segundo semestre de ese mismo ejercicio, se realizaron</w:t>
            </w:r>
            <w:r w:rsidR="007B7597">
              <w:t xml:space="preserve"> 78</w:t>
            </w:r>
            <w:r w:rsidR="00972203">
              <w:t xml:space="preserve"> </w:t>
            </w:r>
            <w:r w:rsidR="007B7597">
              <w:t>proyectos interinstitucionales con 170 proyectos de investigación</w:t>
            </w:r>
            <w:r>
              <w:t xml:space="preserve">, </w:t>
            </w:r>
            <w:r w:rsidR="009D3DF8">
              <w:t xml:space="preserve">superando </w:t>
            </w:r>
            <w:r>
              <w:t xml:space="preserve">la meta comprometida de </w:t>
            </w:r>
            <w:r w:rsidR="00972203">
              <w:t>27 proyectos interinstitucionales con 170 proyectos de investigación</w:t>
            </w:r>
            <w:r>
              <w:t xml:space="preserve">. </w:t>
            </w:r>
            <w:r w:rsidR="00972203">
              <w:t xml:space="preserve"> </w:t>
            </w:r>
          </w:p>
          <w:p w:rsidR="009D3DF8" w:rsidRDefault="009D3DF8" w:rsidP="00A41074">
            <w:pPr>
              <w:pStyle w:val="Prrafodelista"/>
              <w:ind w:right="143"/>
              <w:jc w:val="both"/>
            </w:pP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9D3DF8" w:rsidRPr="00945E1F" w:rsidTr="0087244E">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9D3DF8" w:rsidRPr="00945E1F" w:rsidTr="0087244E">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sidR="00E72540">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sidR="00E72540">
                    <w:rPr>
                      <w:rFonts w:ascii="Arial" w:eastAsia="Times New Roman" w:hAnsi="Arial" w:cs="Arial"/>
                      <w:b/>
                      <w:bCs/>
                      <w:color w:val="000000"/>
                      <w:sz w:val="14"/>
                      <w:szCs w:val="14"/>
                      <w:lang w:eastAsia="es-MX"/>
                    </w:rPr>
                    <w:t xml:space="preserve"> SEMESTRE</w:t>
                  </w:r>
                </w:p>
              </w:tc>
            </w:tr>
            <w:tr w:rsidR="009D3DF8" w:rsidRPr="00945E1F" w:rsidTr="0087244E">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9D3DF8" w:rsidRPr="00945E1F" w:rsidTr="0087244E">
              <w:trPr>
                <w:trHeight w:val="209"/>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both"/>
                    <w:rPr>
                      <w:rFonts w:ascii="Arial" w:eastAsia="Times New Roman" w:hAnsi="Arial" w:cs="Arial"/>
                      <w:color w:val="000000"/>
                      <w:sz w:val="14"/>
                      <w:szCs w:val="14"/>
                      <w:lang w:eastAsia="es-MX"/>
                    </w:rPr>
                  </w:pPr>
                  <w:r w:rsidRPr="009D3DF8">
                    <w:rPr>
                      <w:rFonts w:ascii="Arial" w:eastAsia="Times New Roman" w:hAnsi="Arial" w:cs="Arial"/>
                      <w:color w:val="000000"/>
                      <w:sz w:val="14"/>
                      <w:szCs w:val="14"/>
                      <w:lang w:eastAsia="es-MX"/>
                    </w:rPr>
                    <w:t>Número de proyectos interinstitucionales</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27</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0.15</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62</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0.48</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27</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0.15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78</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0.45</w:t>
                  </w:r>
                </w:p>
              </w:tc>
            </w:tr>
            <w:tr w:rsidR="009D3DF8" w:rsidRPr="00945E1F" w:rsidTr="009D3DF8">
              <w:trPr>
                <w:trHeight w:val="268"/>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both"/>
                    <w:rPr>
                      <w:rFonts w:ascii="Arial" w:eastAsia="Times New Roman" w:hAnsi="Arial" w:cs="Arial"/>
                      <w:color w:val="000000"/>
                      <w:sz w:val="14"/>
                      <w:szCs w:val="14"/>
                      <w:lang w:eastAsia="es-MX"/>
                    </w:rPr>
                  </w:pPr>
                  <w:r w:rsidRPr="009D3DF8">
                    <w:rPr>
                      <w:rFonts w:ascii="Arial" w:eastAsia="Times New Roman" w:hAnsi="Arial" w:cs="Arial"/>
                      <w:color w:val="000000"/>
                      <w:sz w:val="14"/>
                      <w:szCs w:val="14"/>
                      <w:lang w:eastAsia="es-MX"/>
                    </w:rPr>
                    <w:t>Número de proyectos de investigación</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170</w:t>
                  </w: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129</w:t>
                  </w:r>
                </w:p>
              </w:tc>
              <w:tc>
                <w:tcPr>
                  <w:tcW w:w="1006" w:type="dxa"/>
                  <w:vMerge/>
                  <w:tcBorders>
                    <w:top w:val="single" w:sz="4" w:space="0" w:color="auto"/>
                    <w:left w:val="single" w:sz="4" w:space="0" w:color="auto"/>
                    <w:bottom w:val="single" w:sz="4" w:space="0" w:color="auto"/>
                    <w:right w:val="single" w:sz="4" w:space="0" w:color="auto"/>
                  </w:tcBorders>
                  <w:vAlign w:val="center"/>
                </w:tcPr>
                <w:p w:rsidR="009D3DF8" w:rsidRPr="00945E1F" w:rsidRDefault="009D3DF8" w:rsidP="009D3DF8">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170</w:t>
                  </w:r>
                </w:p>
              </w:tc>
              <w:tc>
                <w:tcPr>
                  <w:tcW w:w="1027" w:type="dxa"/>
                  <w:vMerge/>
                  <w:tcBorders>
                    <w:top w:val="single" w:sz="4" w:space="0" w:color="auto"/>
                    <w:left w:val="single" w:sz="4" w:space="0" w:color="auto"/>
                    <w:bottom w:val="single" w:sz="4" w:space="0" w:color="auto"/>
                    <w:right w:val="single" w:sz="4" w:space="0" w:color="auto"/>
                  </w:tcBorders>
                  <w:vAlign w:val="center"/>
                </w:tcPr>
                <w:p w:rsidR="009D3DF8" w:rsidRPr="00945E1F" w:rsidRDefault="009D3DF8" w:rsidP="009D3DF8">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170</w:t>
                  </w: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color w:val="000000"/>
                      <w:sz w:val="14"/>
                      <w:szCs w:val="14"/>
                      <w:lang w:eastAsia="es-MX"/>
                    </w:rPr>
                  </w:pPr>
                </w:p>
              </w:tc>
            </w:tr>
          </w:tbl>
          <w:p w:rsidR="004207D0" w:rsidRPr="009D3DF8" w:rsidRDefault="004207D0" w:rsidP="009D3DF8">
            <w:pPr>
              <w:ind w:right="143"/>
              <w:jc w:val="both"/>
              <w:rPr>
                <w:b/>
              </w:rPr>
            </w:pPr>
          </w:p>
          <w:p w:rsidR="00CB4372" w:rsidRDefault="00E62BCE" w:rsidP="00A469FE">
            <w:pPr>
              <w:pStyle w:val="Prrafodelista"/>
              <w:numPr>
                <w:ilvl w:val="0"/>
                <w:numId w:val="17"/>
              </w:numPr>
              <w:ind w:right="143"/>
              <w:jc w:val="both"/>
              <w:rPr>
                <w:b/>
              </w:rPr>
            </w:pPr>
            <w:r>
              <w:rPr>
                <w:b/>
              </w:rPr>
              <w:t>Transferencia del Conocimiento e Innovación</w:t>
            </w:r>
            <w:r w:rsidR="00CB4372" w:rsidRPr="00CB4372">
              <w:rPr>
                <w:b/>
              </w:rPr>
              <w:t xml:space="preserve"> </w:t>
            </w:r>
          </w:p>
          <w:p w:rsidR="00E034B5" w:rsidRDefault="00E034B5" w:rsidP="00E034B5">
            <w:pPr>
              <w:pStyle w:val="Prrafodelista"/>
              <w:ind w:right="143"/>
              <w:jc w:val="both"/>
              <w:rPr>
                <w:b/>
              </w:rPr>
            </w:pPr>
          </w:p>
          <w:p w:rsidR="00E62BCE" w:rsidRDefault="00E62BCE" w:rsidP="00E62BCE">
            <w:pPr>
              <w:pStyle w:val="Prrafodelista"/>
              <w:numPr>
                <w:ilvl w:val="0"/>
                <w:numId w:val="22"/>
              </w:numPr>
              <w:ind w:right="143"/>
              <w:jc w:val="both"/>
              <w:rPr>
                <w:b/>
              </w:rPr>
            </w:pPr>
            <w:r>
              <w:rPr>
                <w:b/>
              </w:rPr>
              <w:t>Transferencia de Conocimiento</w:t>
            </w:r>
          </w:p>
          <w:p w:rsidR="00E15B85" w:rsidRDefault="00E15B85" w:rsidP="00E15B85">
            <w:pPr>
              <w:pStyle w:val="Prrafodelista"/>
              <w:ind w:right="143"/>
              <w:jc w:val="both"/>
            </w:pPr>
            <w:r>
              <w:t>En el primer semestre del ej</w:t>
            </w:r>
            <w:r w:rsidR="006B5F90">
              <w:t>ercicio 2018, solo se realizaron</w:t>
            </w:r>
            <w:r>
              <w:t xml:space="preserve"> 17 contratos </w:t>
            </w:r>
            <w:r w:rsidRPr="00E15B85">
              <w:t>o convenios de transferencia de conocimiento, innovación tecnológica, social, económica o ambiental firmados vigentes alineados al PECITI</w:t>
            </w:r>
            <w:r w:rsidR="00814134">
              <w:t xml:space="preserve">, </w:t>
            </w:r>
            <w:r>
              <w:t xml:space="preserve">de los 18 contratos o convenios establecidos en la meta comprometida. Sin embargo, para el segundo semestre de ese mismo ejercicio, se realizaron </w:t>
            </w:r>
            <w:r w:rsidR="006B5F90">
              <w:t xml:space="preserve">23 contratos </w:t>
            </w:r>
            <w:r w:rsidR="006B5F90" w:rsidRPr="00E15B85">
              <w:t xml:space="preserve">o convenios de </w:t>
            </w:r>
            <w:r w:rsidR="006B5F90" w:rsidRPr="00E15B85">
              <w:lastRenderedPageBreak/>
              <w:t>transferencia de conocimiento, innovación tecnológica, social, económica o ambiental firmados vigentes alineados al PECITI</w:t>
            </w:r>
            <w:r w:rsidR="006B5F90">
              <w:t>,</w:t>
            </w:r>
            <w:r w:rsidR="009D3DF8">
              <w:t xml:space="preserve"> superando </w:t>
            </w:r>
            <w:r w:rsidR="006B5F90">
              <w:t xml:space="preserve">los 18 contratos o convenios establecidos </w:t>
            </w:r>
            <w:r w:rsidR="009D3DF8">
              <w:t>como meta en el ejercicio 2018</w:t>
            </w:r>
            <w:r w:rsidR="006B5F90">
              <w:t xml:space="preserve">. </w:t>
            </w:r>
          </w:p>
          <w:p w:rsidR="009D3DF8" w:rsidRDefault="009D3DF8" w:rsidP="00E15B85">
            <w:pPr>
              <w:pStyle w:val="Prrafodelista"/>
              <w:ind w:right="143"/>
              <w:jc w:val="both"/>
            </w:pP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9D3DF8" w:rsidRPr="00945E1F" w:rsidTr="0087244E">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9D3DF8" w:rsidRPr="00945E1F" w:rsidTr="0087244E">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sidR="00E72540">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sidR="00E72540">
                    <w:rPr>
                      <w:rFonts w:ascii="Arial" w:eastAsia="Times New Roman" w:hAnsi="Arial" w:cs="Arial"/>
                      <w:b/>
                      <w:bCs/>
                      <w:color w:val="000000"/>
                      <w:sz w:val="14"/>
                      <w:szCs w:val="14"/>
                      <w:lang w:eastAsia="es-MX"/>
                    </w:rPr>
                    <w:t xml:space="preserve"> SEMESTRE</w:t>
                  </w:r>
                </w:p>
              </w:tc>
            </w:tr>
            <w:tr w:rsidR="009D3DF8" w:rsidRPr="00945E1F" w:rsidTr="0087244E">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9D3DF8" w:rsidRPr="00945E1F" w:rsidTr="009D3DF8">
              <w:trPr>
                <w:trHeight w:val="883"/>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both"/>
                    <w:rPr>
                      <w:rFonts w:ascii="Arial" w:eastAsia="Times New Roman" w:hAnsi="Arial" w:cs="Arial"/>
                      <w:color w:val="000000"/>
                      <w:sz w:val="14"/>
                      <w:szCs w:val="14"/>
                      <w:lang w:eastAsia="es-MX"/>
                    </w:rPr>
                  </w:pPr>
                  <w:r w:rsidRPr="009D3DF8">
                    <w:rPr>
                      <w:rFonts w:ascii="Arial" w:eastAsia="Times New Roman" w:hAnsi="Arial" w:cs="Arial"/>
                      <w:color w:val="000000"/>
                      <w:sz w:val="14"/>
                      <w:szCs w:val="14"/>
                      <w:lang w:eastAsia="es-MX"/>
                    </w:rPr>
                    <w:t>Número de contratos o convenios de transferencia de conocimiento, innovación tecnológica, social, económica o ambiental firmados vigentes alineados al PECITI</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0.94</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1.27</w:t>
                  </w:r>
                </w:p>
              </w:tc>
            </w:tr>
          </w:tbl>
          <w:p w:rsidR="00E034B5" w:rsidRDefault="00E034B5" w:rsidP="00E034B5">
            <w:pPr>
              <w:pStyle w:val="Prrafodelista"/>
              <w:ind w:left="1440" w:right="143"/>
              <w:jc w:val="both"/>
              <w:rPr>
                <w:b/>
              </w:rPr>
            </w:pPr>
          </w:p>
          <w:p w:rsidR="00E62BCE" w:rsidRPr="00CB4372" w:rsidRDefault="00E62BCE" w:rsidP="00E62BCE">
            <w:pPr>
              <w:pStyle w:val="Prrafodelista"/>
              <w:numPr>
                <w:ilvl w:val="0"/>
                <w:numId w:val="22"/>
              </w:numPr>
              <w:ind w:right="143"/>
              <w:jc w:val="both"/>
              <w:rPr>
                <w:b/>
              </w:rPr>
            </w:pPr>
            <w:r>
              <w:rPr>
                <w:b/>
              </w:rPr>
              <w:t xml:space="preserve">Propiedad Industrial Solicitada </w:t>
            </w:r>
          </w:p>
          <w:p w:rsidR="009D3DF8" w:rsidRDefault="006B5F90" w:rsidP="006B5F90">
            <w:pPr>
              <w:pStyle w:val="Prrafodelista"/>
              <w:ind w:right="143"/>
              <w:jc w:val="both"/>
            </w:pPr>
            <w:r>
              <w:t xml:space="preserve">Durante el primer semestre del ejercicio 2018, se realizaron </w:t>
            </w:r>
            <w:r w:rsidR="00E47604">
              <w:t>4 solicitudes de patentes de las 17 solicitudes comprometidas como meta. Para el segundo semestre del mismo año, se realizaron 8 solicitudes de patentes de las 17 solici</w:t>
            </w:r>
            <w:r w:rsidR="009D3DF8">
              <w:t xml:space="preserve">tudes comprometidas como meta. </w:t>
            </w:r>
            <w:r>
              <w:t xml:space="preserve">Sin embargo, </w:t>
            </w:r>
            <w:r w:rsidR="009D3DF8">
              <w:t xml:space="preserve">es importante mencionar que este indicador </w:t>
            </w:r>
            <w:r w:rsidR="00E72540">
              <w:t xml:space="preserve">solo ha alcanzado la meta del ejercicio 2015, de acuerdo a su información proporcionada a este Órgano Interno de Control.  </w:t>
            </w:r>
          </w:p>
          <w:p w:rsidR="009D3DF8" w:rsidRDefault="009D3DF8" w:rsidP="006B5F90">
            <w:pPr>
              <w:pStyle w:val="Prrafodelista"/>
              <w:ind w:right="143"/>
              <w:jc w:val="both"/>
            </w:pP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9D3DF8" w:rsidRPr="00945E1F" w:rsidTr="0087244E">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9D3DF8" w:rsidRPr="00945E1F" w:rsidTr="0087244E">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sidR="00E72540">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sidR="00E72540">
                    <w:rPr>
                      <w:rFonts w:ascii="Arial" w:eastAsia="Times New Roman" w:hAnsi="Arial" w:cs="Arial"/>
                      <w:b/>
                      <w:bCs/>
                      <w:color w:val="000000"/>
                      <w:sz w:val="14"/>
                      <w:szCs w:val="14"/>
                      <w:lang w:eastAsia="es-MX"/>
                    </w:rPr>
                    <w:t xml:space="preserve"> SEMESTRE</w:t>
                  </w:r>
                </w:p>
              </w:tc>
            </w:tr>
            <w:tr w:rsidR="009D3DF8" w:rsidRPr="00945E1F" w:rsidTr="0087244E">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9D3DF8" w:rsidRPr="00945E1F" w:rsidRDefault="009D3DF8" w:rsidP="009D3DF8">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9D3DF8" w:rsidRPr="00945E1F" w:rsidTr="0087244E">
              <w:trPr>
                <w:trHeight w:val="209"/>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both"/>
                    <w:rPr>
                      <w:rFonts w:ascii="Arial" w:eastAsia="Times New Roman" w:hAnsi="Arial" w:cs="Arial"/>
                      <w:color w:val="000000"/>
                      <w:sz w:val="14"/>
                      <w:szCs w:val="14"/>
                      <w:lang w:eastAsia="es-MX"/>
                    </w:rPr>
                  </w:pPr>
                  <w:r w:rsidRPr="009D3DF8">
                    <w:rPr>
                      <w:rFonts w:ascii="Arial" w:eastAsia="Times New Roman" w:hAnsi="Arial" w:cs="Arial"/>
                      <w:color w:val="000000"/>
                      <w:sz w:val="14"/>
                      <w:szCs w:val="14"/>
                      <w:lang w:eastAsia="es-MX"/>
                    </w:rPr>
                    <w:t>Número de solicitudes de patentes</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1.13</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0.26</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0.60</w:t>
                  </w:r>
                </w:p>
              </w:tc>
            </w:tr>
            <w:tr w:rsidR="009D3DF8" w:rsidRPr="00945E1F" w:rsidTr="0087244E">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both"/>
                    <w:rPr>
                      <w:rFonts w:ascii="Arial" w:eastAsia="Times New Roman" w:hAnsi="Arial" w:cs="Arial"/>
                      <w:color w:val="000000"/>
                      <w:sz w:val="14"/>
                      <w:szCs w:val="14"/>
                      <w:lang w:eastAsia="es-MX"/>
                    </w:rPr>
                  </w:pPr>
                  <w:r w:rsidRPr="009D3DF8">
                    <w:rPr>
                      <w:rFonts w:ascii="Arial" w:eastAsia="Times New Roman" w:hAnsi="Arial" w:cs="Arial"/>
                      <w:color w:val="000000"/>
                      <w:sz w:val="14"/>
                      <w:szCs w:val="14"/>
                      <w:lang w:eastAsia="es-MX"/>
                    </w:rPr>
                    <w:t>Número de solicitudes de modelos de utilidad</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06" w:type="dxa"/>
                  <w:vMerge/>
                  <w:tcBorders>
                    <w:top w:val="single" w:sz="4" w:space="0" w:color="auto"/>
                    <w:left w:val="single" w:sz="4" w:space="0" w:color="auto"/>
                    <w:bottom w:val="single" w:sz="4" w:space="0" w:color="auto"/>
                    <w:right w:val="single" w:sz="4" w:space="0" w:color="auto"/>
                  </w:tcBorders>
                  <w:vAlign w:val="center"/>
                </w:tcPr>
                <w:p w:rsidR="009D3DF8" w:rsidRPr="00945E1F" w:rsidRDefault="009D3DF8" w:rsidP="009D3DF8">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27" w:type="dxa"/>
                  <w:vMerge/>
                  <w:tcBorders>
                    <w:top w:val="single" w:sz="4" w:space="0" w:color="auto"/>
                    <w:left w:val="single" w:sz="4" w:space="0" w:color="auto"/>
                    <w:bottom w:val="single" w:sz="4" w:space="0" w:color="auto"/>
                    <w:right w:val="single" w:sz="4" w:space="0" w:color="auto"/>
                  </w:tcBorders>
                  <w:vAlign w:val="center"/>
                </w:tcPr>
                <w:p w:rsidR="009D3DF8" w:rsidRPr="00945E1F" w:rsidRDefault="009D3DF8" w:rsidP="009D3DF8">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9D3DF8" w:rsidRPr="00945E1F" w:rsidRDefault="009D3DF8" w:rsidP="009D3DF8">
                  <w:pPr>
                    <w:spacing w:after="0" w:line="240" w:lineRule="auto"/>
                    <w:rPr>
                      <w:rFonts w:ascii="Arial" w:eastAsia="Times New Roman" w:hAnsi="Arial" w:cs="Arial"/>
                      <w:color w:val="000000"/>
                      <w:sz w:val="14"/>
                      <w:szCs w:val="14"/>
                      <w:lang w:eastAsia="es-MX"/>
                    </w:rPr>
                  </w:pPr>
                </w:p>
              </w:tc>
            </w:tr>
            <w:tr w:rsidR="009D3DF8" w:rsidRPr="00945E1F" w:rsidTr="0087244E">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both"/>
                    <w:rPr>
                      <w:rFonts w:ascii="Arial" w:eastAsia="Times New Roman" w:hAnsi="Arial" w:cs="Arial"/>
                      <w:color w:val="000000"/>
                      <w:sz w:val="14"/>
                      <w:szCs w:val="14"/>
                      <w:lang w:eastAsia="es-MX"/>
                    </w:rPr>
                  </w:pPr>
                  <w:r w:rsidRPr="009D3DF8">
                    <w:rPr>
                      <w:rFonts w:ascii="Arial" w:eastAsia="Times New Roman" w:hAnsi="Arial" w:cs="Arial"/>
                      <w:color w:val="000000"/>
                      <w:sz w:val="14"/>
                      <w:szCs w:val="14"/>
                      <w:lang w:eastAsia="es-MX"/>
                    </w:rPr>
                    <w:t>Número de solicitudes de diseños industriales</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12" w:type="dxa"/>
                  <w:vMerge/>
                  <w:tcBorders>
                    <w:top w:val="single" w:sz="4" w:space="0" w:color="auto"/>
                    <w:left w:val="single" w:sz="4" w:space="0" w:color="auto"/>
                    <w:bottom w:val="single" w:sz="4" w:space="0" w:color="auto"/>
                    <w:right w:val="single" w:sz="4" w:space="0" w:color="auto"/>
                  </w:tcBorders>
                  <w:vAlign w:val="center"/>
                </w:tcPr>
                <w:p w:rsidR="009D3DF8" w:rsidRPr="00945E1F" w:rsidRDefault="009D3DF8" w:rsidP="009D3DF8">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06" w:type="dxa"/>
                  <w:vMerge/>
                  <w:tcBorders>
                    <w:top w:val="single" w:sz="4" w:space="0" w:color="auto"/>
                    <w:left w:val="single" w:sz="4" w:space="0" w:color="auto"/>
                    <w:bottom w:val="single" w:sz="4" w:space="0" w:color="auto"/>
                    <w:right w:val="single" w:sz="4" w:space="0" w:color="auto"/>
                  </w:tcBorders>
                  <w:vAlign w:val="center"/>
                </w:tcPr>
                <w:p w:rsidR="009D3DF8" w:rsidRPr="00945E1F" w:rsidRDefault="009D3DF8" w:rsidP="009D3DF8">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27" w:type="dxa"/>
                  <w:vMerge/>
                  <w:tcBorders>
                    <w:top w:val="single" w:sz="4" w:space="0" w:color="auto"/>
                    <w:left w:val="single" w:sz="4" w:space="0" w:color="auto"/>
                    <w:bottom w:val="single" w:sz="4" w:space="0" w:color="auto"/>
                    <w:right w:val="single" w:sz="4" w:space="0" w:color="auto"/>
                  </w:tcBorders>
                  <w:vAlign w:val="center"/>
                </w:tcPr>
                <w:p w:rsidR="009D3DF8" w:rsidRPr="00945E1F" w:rsidRDefault="009D3DF8" w:rsidP="009D3DF8">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DF8" w:rsidRPr="00945E1F" w:rsidRDefault="009D3DF8" w:rsidP="009D3DF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744" w:type="dxa"/>
                  <w:vMerge/>
                  <w:tcBorders>
                    <w:top w:val="single" w:sz="4" w:space="0" w:color="auto"/>
                    <w:left w:val="single" w:sz="4" w:space="0" w:color="auto"/>
                    <w:bottom w:val="single" w:sz="4" w:space="0" w:color="auto"/>
                    <w:right w:val="single" w:sz="4" w:space="0" w:color="auto"/>
                  </w:tcBorders>
                  <w:vAlign w:val="center"/>
                </w:tcPr>
                <w:p w:rsidR="009D3DF8" w:rsidRPr="00945E1F" w:rsidRDefault="009D3DF8" w:rsidP="009D3DF8">
                  <w:pPr>
                    <w:spacing w:after="0" w:line="240" w:lineRule="auto"/>
                    <w:rPr>
                      <w:rFonts w:ascii="Arial" w:eastAsia="Times New Roman" w:hAnsi="Arial" w:cs="Arial"/>
                      <w:color w:val="000000"/>
                      <w:sz w:val="14"/>
                      <w:szCs w:val="14"/>
                      <w:lang w:eastAsia="es-MX"/>
                    </w:rPr>
                  </w:pPr>
                </w:p>
              </w:tc>
            </w:tr>
          </w:tbl>
          <w:p w:rsidR="00CB4372" w:rsidRDefault="00CB4372" w:rsidP="00A469FE">
            <w:pPr>
              <w:pStyle w:val="Prrafodelista"/>
              <w:ind w:left="447" w:right="143"/>
              <w:jc w:val="both"/>
              <w:rPr>
                <w:b/>
              </w:rPr>
            </w:pPr>
          </w:p>
          <w:p w:rsidR="00CB4372" w:rsidRDefault="00E62BCE" w:rsidP="00A469FE">
            <w:pPr>
              <w:pStyle w:val="Prrafodelista"/>
              <w:numPr>
                <w:ilvl w:val="0"/>
                <w:numId w:val="17"/>
              </w:numPr>
              <w:ind w:right="143"/>
              <w:jc w:val="both"/>
              <w:rPr>
                <w:b/>
              </w:rPr>
            </w:pPr>
            <w:r>
              <w:rPr>
                <w:b/>
              </w:rPr>
              <w:t xml:space="preserve">Difusión y Divulgación </w:t>
            </w:r>
          </w:p>
          <w:p w:rsidR="00E62BCE" w:rsidRDefault="00E62BCE" w:rsidP="00E62BCE">
            <w:pPr>
              <w:pStyle w:val="Prrafodelista"/>
              <w:ind w:right="143"/>
              <w:jc w:val="both"/>
              <w:rPr>
                <w:b/>
              </w:rPr>
            </w:pPr>
          </w:p>
          <w:p w:rsidR="00E62BCE" w:rsidRPr="00CB4372" w:rsidRDefault="00E62BCE" w:rsidP="00E62BCE">
            <w:pPr>
              <w:pStyle w:val="Prrafodelista"/>
              <w:numPr>
                <w:ilvl w:val="0"/>
                <w:numId w:val="23"/>
              </w:numPr>
              <w:ind w:right="143"/>
              <w:jc w:val="both"/>
              <w:rPr>
                <w:b/>
              </w:rPr>
            </w:pPr>
            <w:r>
              <w:rPr>
                <w:b/>
              </w:rPr>
              <w:t xml:space="preserve">Actividades de Divulgación Personal </w:t>
            </w:r>
          </w:p>
          <w:p w:rsidR="00A3717F" w:rsidRDefault="00A3717F" w:rsidP="00A3717F">
            <w:pPr>
              <w:pStyle w:val="Prrafodelista"/>
              <w:ind w:right="143"/>
              <w:jc w:val="both"/>
            </w:pPr>
            <w:r>
              <w:t xml:space="preserve">En el primer semestre del ejercicio 2018, se realizaron 180 actividades de divulgación dirigidas al público general con 239 personas del área de ciencia y tecnología, sin alcanzar la meta comprometida de 200 actividades de divulgación dirigidas al público general con 230 personas del área de ciencia y tecnología. Sin embargo, durante el segundo trimestre se superó la meta realizando 398 actividades de divulgación al público general con 249 personas del área de ciencia y tecnología. Es importante mencionar que este indicador desde el ejercicio 2014 al 2018 ha superado las metas comprometidas en el CAR.       </w:t>
            </w:r>
          </w:p>
          <w:p w:rsidR="00E72540" w:rsidRDefault="00CB4372" w:rsidP="00A469FE">
            <w:pPr>
              <w:pStyle w:val="Prrafodelista"/>
              <w:ind w:right="143"/>
              <w:jc w:val="both"/>
            </w:pPr>
            <w:r w:rsidRPr="00C13336">
              <w:lastRenderedPageBreak/>
              <w:t xml:space="preserve"> </w:t>
            </w: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E72540" w:rsidRPr="00945E1F" w:rsidTr="0087244E">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E72540" w:rsidRPr="00945E1F" w:rsidTr="0087244E">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E72540" w:rsidRPr="00945E1F" w:rsidRDefault="00E72540" w:rsidP="00E72540">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Pr>
                      <w:rFonts w:ascii="Arial" w:eastAsia="Times New Roman" w:hAnsi="Arial" w:cs="Arial"/>
                      <w:b/>
                      <w:bCs/>
                      <w:color w:val="000000"/>
                      <w:sz w:val="14"/>
                      <w:szCs w:val="14"/>
                      <w:lang w:eastAsia="es-MX"/>
                    </w:rPr>
                    <w:t xml:space="preserve"> SEMESTRE</w:t>
                  </w:r>
                </w:p>
              </w:tc>
            </w:tr>
            <w:tr w:rsidR="00E72540" w:rsidRPr="00945E1F" w:rsidTr="0087244E">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E72540" w:rsidRPr="00945E1F" w:rsidRDefault="00E72540" w:rsidP="00E72540">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E72540" w:rsidRPr="00945E1F" w:rsidTr="0087244E">
              <w:trPr>
                <w:trHeight w:val="209"/>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both"/>
                    <w:rPr>
                      <w:rFonts w:ascii="Arial" w:eastAsia="Times New Roman" w:hAnsi="Arial" w:cs="Arial"/>
                      <w:color w:val="000000"/>
                      <w:sz w:val="14"/>
                      <w:szCs w:val="14"/>
                      <w:lang w:eastAsia="es-MX"/>
                    </w:rPr>
                  </w:pPr>
                  <w:r w:rsidRPr="00E72540">
                    <w:rPr>
                      <w:rFonts w:ascii="Arial" w:eastAsia="Times New Roman" w:hAnsi="Arial" w:cs="Arial"/>
                      <w:color w:val="000000"/>
                      <w:sz w:val="14"/>
                      <w:szCs w:val="14"/>
                      <w:lang w:eastAsia="es-MX"/>
                    </w:rPr>
                    <w:t>Número de actividades de divulgación dirigidas al público en general</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200</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0.86</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180</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0.75</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200</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0.86</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398</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1.59</w:t>
                  </w:r>
                </w:p>
              </w:tc>
            </w:tr>
            <w:tr w:rsidR="00E72540" w:rsidRPr="00945E1F" w:rsidTr="00E72540">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both"/>
                    <w:rPr>
                      <w:rFonts w:ascii="Arial" w:eastAsia="Times New Roman" w:hAnsi="Arial" w:cs="Arial"/>
                      <w:color w:val="000000"/>
                      <w:sz w:val="14"/>
                      <w:szCs w:val="14"/>
                      <w:lang w:eastAsia="es-MX"/>
                    </w:rPr>
                  </w:pPr>
                  <w:r w:rsidRPr="00E72540">
                    <w:rPr>
                      <w:rFonts w:ascii="Arial" w:eastAsia="Times New Roman" w:hAnsi="Arial" w:cs="Arial"/>
                      <w:color w:val="000000"/>
                      <w:sz w:val="14"/>
                      <w:szCs w:val="14"/>
                      <w:lang w:eastAsia="es-MX"/>
                    </w:rPr>
                    <w:t>Número de personal de ciencia y tecnología</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230</w:t>
                  </w:r>
                </w:p>
              </w:tc>
              <w:tc>
                <w:tcPr>
                  <w:tcW w:w="1012" w:type="dxa"/>
                  <w:vMerge/>
                  <w:tcBorders>
                    <w:top w:val="single" w:sz="4" w:space="0" w:color="auto"/>
                    <w:left w:val="single" w:sz="4" w:space="0" w:color="auto"/>
                    <w:bottom w:val="single" w:sz="4" w:space="0" w:color="auto"/>
                    <w:right w:val="single" w:sz="4" w:space="0" w:color="auto"/>
                  </w:tcBorders>
                  <w:vAlign w:val="center"/>
                </w:tcPr>
                <w:p w:rsidR="00E72540" w:rsidRPr="00945E1F" w:rsidRDefault="00E72540" w:rsidP="00E72540">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239</w:t>
                  </w:r>
                </w:p>
              </w:tc>
              <w:tc>
                <w:tcPr>
                  <w:tcW w:w="1006" w:type="dxa"/>
                  <w:vMerge/>
                  <w:tcBorders>
                    <w:top w:val="single" w:sz="4" w:space="0" w:color="auto"/>
                    <w:left w:val="single" w:sz="4" w:space="0" w:color="auto"/>
                    <w:bottom w:val="single" w:sz="4" w:space="0" w:color="auto"/>
                    <w:right w:val="single" w:sz="4" w:space="0" w:color="auto"/>
                  </w:tcBorders>
                  <w:vAlign w:val="center"/>
                </w:tcPr>
                <w:p w:rsidR="00E72540" w:rsidRPr="00945E1F" w:rsidRDefault="00E72540" w:rsidP="00E72540">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230</w:t>
                  </w:r>
                </w:p>
              </w:tc>
              <w:tc>
                <w:tcPr>
                  <w:tcW w:w="1027" w:type="dxa"/>
                  <w:vMerge/>
                  <w:tcBorders>
                    <w:top w:val="single" w:sz="4" w:space="0" w:color="auto"/>
                    <w:left w:val="single" w:sz="4" w:space="0" w:color="auto"/>
                    <w:bottom w:val="single" w:sz="4" w:space="0" w:color="auto"/>
                    <w:right w:val="single" w:sz="4" w:space="0" w:color="auto"/>
                  </w:tcBorders>
                  <w:vAlign w:val="center"/>
                </w:tcPr>
                <w:p w:rsidR="00E72540" w:rsidRPr="00945E1F" w:rsidRDefault="00E72540" w:rsidP="00E72540">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249</w:t>
                  </w: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E72540" w:rsidRPr="00945E1F" w:rsidRDefault="00E72540" w:rsidP="00E72540">
                  <w:pPr>
                    <w:spacing w:after="0" w:line="240" w:lineRule="auto"/>
                    <w:rPr>
                      <w:rFonts w:ascii="Arial" w:eastAsia="Times New Roman" w:hAnsi="Arial" w:cs="Arial"/>
                      <w:color w:val="000000"/>
                      <w:sz w:val="14"/>
                      <w:szCs w:val="14"/>
                      <w:lang w:eastAsia="es-MX"/>
                    </w:rPr>
                  </w:pPr>
                </w:p>
              </w:tc>
            </w:tr>
          </w:tbl>
          <w:p w:rsidR="00CB4372" w:rsidRDefault="00CB4372" w:rsidP="00A469FE">
            <w:pPr>
              <w:pStyle w:val="Prrafodelista"/>
              <w:ind w:left="447" w:right="143"/>
              <w:jc w:val="both"/>
              <w:rPr>
                <w:b/>
              </w:rPr>
            </w:pPr>
          </w:p>
          <w:p w:rsidR="00E62BCE" w:rsidRDefault="00E62BCE" w:rsidP="00A469FE">
            <w:pPr>
              <w:pStyle w:val="Prrafodelista"/>
              <w:numPr>
                <w:ilvl w:val="0"/>
                <w:numId w:val="17"/>
              </w:numPr>
              <w:ind w:right="143"/>
              <w:jc w:val="both"/>
              <w:rPr>
                <w:b/>
              </w:rPr>
            </w:pPr>
            <w:r>
              <w:rPr>
                <w:b/>
              </w:rPr>
              <w:t xml:space="preserve">Gestión Presupuestal </w:t>
            </w:r>
          </w:p>
          <w:p w:rsidR="00E62BCE" w:rsidRDefault="00E62BCE" w:rsidP="00E62BCE">
            <w:pPr>
              <w:pStyle w:val="Prrafodelista"/>
              <w:ind w:right="143"/>
              <w:jc w:val="both"/>
              <w:rPr>
                <w:b/>
              </w:rPr>
            </w:pPr>
          </w:p>
          <w:p w:rsidR="00CB4372" w:rsidRDefault="00CA6CC7" w:rsidP="00E62BCE">
            <w:pPr>
              <w:pStyle w:val="Prrafodelista"/>
              <w:numPr>
                <w:ilvl w:val="0"/>
                <w:numId w:val="23"/>
              </w:numPr>
              <w:ind w:right="143"/>
              <w:jc w:val="both"/>
              <w:rPr>
                <w:b/>
              </w:rPr>
            </w:pPr>
            <w:r>
              <w:rPr>
                <w:b/>
              </w:rPr>
              <w:t>Índice</w:t>
            </w:r>
            <w:r w:rsidR="00E62BCE">
              <w:rPr>
                <w:b/>
              </w:rPr>
              <w:t xml:space="preserve"> </w:t>
            </w:r>
            <w:r>
              <w:rPr>
                <w:b/>
              </w:rPr>
              <w:t xml:space="preserve">de sostenibilidad económica para la investigación </w:t>
            </w:r>
          </w:p>
          <w:p w:rsidR="00F6338D" w:rsidRDefault="00897AAF" w:rsidP="00F6338D">
            <w:pPr>
              <w:pStyle w:val="Prrafodelista"/>
              <w:ind w:right="143"/>
              <w:jc w:val="both"/>
            </w:pPr>
            <w:r>
              <w:t>En este indicador se observa que solo en el ejercicio 2018, se ha alcanzado la meta de este indicador obt</w:t>
            </w:r>
            <w:r w:rsidR="0051482E">
              <w:t xml:space="preserve">eniendo un monto de $67,448.00 que superó la </w:t>
            </w:r>
            <w:r>
              <w:t xml:space="preserve">meta de $ 50,000.00. Es importante señalar que estos montos tienden a variar de acuerdo a los ingresos percibidos por el Instituto Nacional de Astrofísica, Óptica y Electrónica (INAOE). </w:t>
            </w:r>
          </w:p>
          <w:p w:rsidR="00E72540" w:rsidRDefault="00E72540" w:rsidP="00F6338D">
            <w:pPr>
              <w:pStyle w:val="Prrafodelista"/>
              <w:ind w:right="143"/>
              <w:jc w:val="both"/>
            </w:pP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E72540" w:rsidRPr="00945E1F" w:rsidTr="0087244E">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E72540" w:rsidRPr="00945E1F" w:rsidTr="0087244E">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E72540" w:rsidRPr="00945E1F" w:rsidRDefault="00E72540" w:rsidP="00E72540">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Pr>
                      <w:rFonts w:ascii="Arial" w:eastAsia="Times New Roman" w:hAnsi="Arial" w:cs="Arial"/>
                      <w:b/>
                      <w:bCs/>
                      <w:color w:val="000000"/>
                      <w:sz w:val="14"/>
                      <w:szCs w:val="14"/>
                      <w:lang w:eastAsia="es-MX"/>
                    </w:rPr>
                    <w:t xml:space="preserve"> SEMESTRE</w:t>
                  </w:r>
                </w:p>
              </w:tc>
            </w:tr>
            <w:tr w:rsidR="00E72540" w:rsidRPr="00945E1F" w:rsidTr="0087244E">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E72540" w:rsidRPr="00945E1F" w:rsidRDefault="00E72540" w:rsidP="00E72540">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E72540" w:rsidRPr="00945E1F" w:rsidTr="0087244E">
              <w:trPr>
                <w:trHeight w:val="209"/>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both"/>
                    <w:rPr>
                      <w:rFonts w:ascii="Arial" w:eastAsia="Times New Roman" w:hAnsi="Arial" w:cs="Arial"/>
                      <w:color w:val="000000"/>
                      <w:sz w:val="14"/>
                      <w:szCs w:val="14"/>
                      <w:lang w:eastAsia="es-MX"/>
                    </w:rPr>
                  </w:pPr>
                  <w:r w:rsidRPr="00E72540">
                    <w:rPr>
                      <w:rFonts w:ascii="Arial" w:eastAsia="Times New Roman" w:hAnsi="Arial" w:cs="Arial"/>
                      <w:color w:val="000000"/>
                      <w:sz w:val="14"/>
                      <w:szCs w:val="14"/>
                      <w:lang w:eastAsia="es-MX"/>
                    </w:rPr>
                    <w:t>Monto de ingresos propios</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50,000.00</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0.10</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19,438.00</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0.10</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50,000.00</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67,448.00</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0.17</w:t>
                  </w:r>
                </w:p>
              </w:tc>
            </w:tr>
            <w:tr w:rsidR="00E72540" w:rsidRPr="00945E1F" w:rsidTr="00E72540">
              <w:trPr>
                <w:trHeight w:val="220"/>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both"/>
                    <w:rPr>
                      <w:rFonts w:ascii="Arial" w:eastAsia="Times New Roman" w:hAnsi="Arial" w:cs="Arial"/>
                      <w:color w:val="000000"/>
                      <w:sz w:val="14"/>
                      <w:szCs w:val="14"/>
                      <w:lang w:eastAsia="es-MX"/>
                    </w:rPr>
                  </w:pPr>
                  <w:r w:rsidRPr="00E72540">
                    <w:rPr>
                      <w:rFonts w:ascii="Arial" w:eastAsia="Times New Roman" w:hAnsi="Arial" w:cs="Arial"/>
                      <w:color w:val="000000"/>
                      <w:sz w:val="14"/>
                      <w:szCs w:val="14"/>
                      <w:lang w:eastAsia="es-MX"/>
                    </w:rPr>
                    <w:t>Monto de presupuesto total del centro</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462,000.00</w:t>
                  </w:r>
                </w:p>
              </w:tc>
              <w:tc>
                <w:tcPr>
                  <w:tcW w:w="1012" w:type="dxa"/>
                  <w:vMerge/>
                  <w:tcBorders>
                    <w:top w:val="single" w:sz="4" w:space="0" w:color="auto"/>
                    <w:left w:val="single" w:sz="4" w:space="0" w:color="auto"/>
                    <w:bottom w:val="single" w:sz="4" w:space="0" w:color="auto"/>
                    <w:right w:val="single" w:sz="4" w:space="0" w:color="auto"/>
                  </w:tcBorders>
                  <w:vAlign w:val="center"/>
                </w:tcPr>
                <w:p w:rsidR="00E72540" w:rsidRPr="00945E1F" w:rsidRDefault="00E72540" w:rsidP="00E72540">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181,726.00</w:t>
                  </w:r>
                </w:p>
              </w:tc>
              <w:tc>
                <w:tcPr>
                  <w:tcW w:w="1006" w:type="dxa"/>
                  <w:vMerge/>
                  <w:tcBorders>
                    <w:top w:val="single" w:sz="4" w:space="0" w:color="auto"/>
                    <w:left w:val="single" w:sz="4" w:space="0" w:color="auto"/>
                    <w:bottom w:val="single" w:sz="4" w:space="0" w:color="auto"/>
                    <w:right w:val="single" w:sz="4" w:space="0" w:color="auto"/>
                  </w:tcBorders>
                  <w:vAlign w:val="center"/>
                </w:tcPr>
                <w:p w:rsidR="00E72540" w:rsidRPr="00945E1F" w:rsidRDefault="00E72540" w:rsidP="00E72540">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462,000.00</w:t>
                  </w:r>
                </w:p>
              </w:tc>
              <w:tc>
                <w:tcPr>
                  <w:tcW w:w="1027" w:type="dxa"/>
                  <w:vMerge/>
                  <w:tcBorders>
                    <w:top w:val="single" w:sz="4" w:space="0" w:color="auto"/>
                    <w:left w:val="single" w:sz="4" w:space="0" w:color="auto"/>
                    <w:bottom w:val="single" w:sz="4" w:space="0" w:color="auto"/>
                    <w:right w:val="single" w:sz="4" w:space="0" w:color="auto"/>
                  </w:tcBorders>
                  <w:vAlign w:val="center"/>
                </w:tcPr>
                <w:p w:rsidR="00E72540" w:rsidRPr="00945E1F" w:rsidRDefault="00E72540" w:rsidP="00E72540">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388,085.00</w:t>
                  </w: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E72540" w:rsidRPr="00945E1F" w:rsidRDefault="00E72540" w:rsidP="00E72540">
                  <w:pPr>
                    <w:spacing w:after="0" w:line="240" w:lineRule="auto"/>
                    <w:rPr>
                      <w:rFonts w:ascii="Arial" w:eastAsia="Times New Roman" w:hAnsi="Arial" w:cs="Arial"/>
                      <w:color w:val="000000"/>
                      <w:sz w:val="14"/>
                      <w:szCs w:val="14"/>
                      <w:lang w:eastAsia="es-MX"/>
                    </w:rPr>
                  </w:pPr>
                </w:p>
              </w:tc>
            </w:tr>
          </w:tbl>
          <w:p w:rsidR="00E72540" w:rsidRDefault="00E72540" w:rsidP="00E72540">
            <w:pPr>
              <w:pStyle w:val="Prrafodelista"/>
              <w:ind w:left="1440" w:right="143"/>
              <w:jc w:val="both"/>
              <w:rPr>
                <w:b/>
              </w:rPr>
            </w:pPr>
          </w:p>
          <w:p w:rsidR="00CA6CC7" w:rsidRPr="00CB4372" w:rsidRDefault="00CA6CC7" w:rsidP="00E62BCE">
            <w:pPr>
              <w:pStyle w:val="Prrafodelista"/>
              <w:numPr>
                <w:ilvl w:val="0"/>
                <w:numId w:val="23"/>
              </w:numPr>
              <w:ind w:right="143"/>
              <w:jc w:val="both"/>
              <w:rPr>
                <w:b/>
              </w:rPr>
            </w:pPr>
            <w:r>
              <w:rPr>
                <w:b/>
              </w:rPr>
              <w:t xml:space="preserve">Índice de sostenibilidad económica para la investigación </w:t>
            </w:r>
          </w:p>
          <w:p w:rsidR="00E72540" w:rsidRDefault="00897AAF" w:rsidP="00866E44">
            <w:pPr>
              <w:pStyle w:val="Prrafodelista"/>
              <w:ind w:right="143"/>
              <w:jc w:val="both"/>
            </w:pPr>
            <w:r>
              <w:t>En este indicador se observa que solo en el ejercicio 2017, no fue posible alcanzar la meta comprometida por un monto de $315,000.00 ya que solo se autorizó en el P</w:t>
            </w:r>
            <w:r w:rsidR="00102B62">
              <w:t>resupuesto de Egresos de la Federación (P</w:t>
            </w:r>
            <w:r>
              <w:t>EF</w:t>
            </w:r>
            <w:r w:rsidR="00102B62">
              <w:t>)</w:t>
            </w:r>
            <w:r>
              <w:t xml:space="preserve"> un monto de $281,528.00. Es importante señalar que este presupuesto es a</w:t>
            </w:r>
            <w:r w:rsidR="0051482E">
              <w:t>signado por la Secretarí</w:t>
            </w:r>
            <w:r>
              <w:t xml:space="preserve">a de Hacienda y Crédito Público (SHCP) a </w:t>
            </w:r>
            <w:r w:rsidR="00102B62">
              <w:t xml:space="preserve">través del Consejo Nacional de Ciencia y Tecnología (CONACYT). </w:t>
            </w:r>
            <w:r>
              <w:t xml:space="preserve"> </w:t>
            </w:r>
            <w:r w:rsidR="00CB4372">
              <w:t xml:space="preserve"> </w:t>
            </w:r>
            <w:r w:rsidR="00CB4372" w:rsidRPr="00C13336">
              <w:t xml:space="preserve"> </w:t>
            </w:r>
          </w:p>
          <w:p w:rsidR="00866E44" w:rsidRDefault="00866E44" w:rsidP="00866E44">
            <w:pPr>
              <w:pStyle w:val="Prrafodelista"/>
              <w:ind w:right="143"/>
              <w:jc w:val="both"/>
            </w:pPr>
          </w:p>
          <w:tbl>
            <w:tblPr>
              <w:tblW w:w="9964" w:type="dxa"/>
              <w:jc w:val="center"/>
              <w:tblCellMar>
                <w:left w:w="70" w:type="dxa"/>
                <w:right w:w="70" w:type="dxa"/>
              </w:tblCellMar>
              <w:tblLook w:val="04A0" w:firstRow="1" w:lastRow="0" w:firstColumn="1" w:lastColumn="0" w:noHBand="0" w:noVBand="1"/>
            </w:tblPr>
            <w:tblGrid>
              <w:gridCol w:w="2612"/>
              <w:gridCol w:w="886"/>
              <w:gridCol w:w="1012"/>
              <w:gridCol w:w="878"/>
              <w:gridCol w:w="1006"/>
              <w:gridCol w:w="899"/>
              <w:gridCol w:w="1027"/>
              <w:gridCol w:w="900"/>
              <w:gridCol w:w="744"/>
            </w:tblGrid>
            <w:tr w:rsidR="00E72540" w:rsidRPr="00945E1F" w:rsidTr="0087244E">
              <w:trPr>
                <w:trHeight w:val="159"/>
                <w:jc w:val="center"/>
              </w:trPr>
              <w:tc>
                <w:tcPr>
                  <w:tcW w:w="2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 xml:space="preserve">UNIDAD DE MEDIDA </w:t>
                  </w:r>
                </w:p>
              </w:tc>
              <w:tc>
                <w:tcPr>
                  <w:tcW w:w="7352" w:type="dxa"/>
                  <w:gridSpan w:val="8"/>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META 2018</w:t>
                  </w:r>
                </w:p>
              </w:tc>
            </w:tr>
            <w:tr w:rsidR="00E72540" w:rsidRPr="00945E1F" w:rsidTr="0087244E">
              <w:trPr>
                <w:trHeight w:val="133"/>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E72540" w:rsidRPr="00945E1F" w:rsidRDefault="00E72540" w:rsidP="00E72540">
                  <w:pPr>
                    <w:spacing w:after="0" w:line="240" w:lineRule="auto"/>
                    <w:rPr>
                      <w:rFonts w:ascii="Arial" w:eastAsia="Times New Roman" w:hAnsi="Arial" w:cs="Arial"/>
                      <w:b/>
                      <w:bCs/>
                      <w:color w:val="000000"/>
                      <w:sz w:val="14"/>
                      <w:szCs w:val="14"/>
                      <w:lang w:eastAsia="es-MX"/>
                    </w:rPr>
                  </w:pPr>
                </w:p>
              </w:tc>
              <w:tc>
                <w:tcPr>
                  <w:tcW w:w="3782" w:type="dxa"/>
                  <w:gridSpan w:val="4"/>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1ER</w:t>
                  </w:r>
                  <w:r>
                    <w:rPr>
                      <w:rFonts w:ascii="Arial" w:eastAsia="Times New Roman" w:hAnsi="Arial" w:cs="Arial"/>
                      <w:b/>
                      <w:bCs/>
                      <w:color w:val="000000"/>
                      <w:sz w:val="14"/>
                      <w:szCs w:val="14"/>
                      <w:lang w:eastAsia="es-MX"/>
                    </w:rPr>
                    <w:t xml:space="preserve"> SEMESTRE</w:t>
                  </w:r>
                </w:p>
              </w:tc>
              <w:tc>
                <w:tcPr>
                  <w:tcW w:w="3570" w:type="dxa"/>
                  <w:gridSpan w:val="4"/>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2DO</w:t>
                  </w:r>
                  <w:r>
                    <w:rPr>
                      <w:rFonts w:ascii="Arial" w:eastAsia="Times New Roman" w:hAnsi="Arial" w:cs="Arial"/>
                      <w:b/>
                      <w:bCs/>
                      <w:color w:val="000000"/>
                      <w:sz w:val="14"/>
                      <w:szCs w:val="14"/>
                      <w:lang w:eastAsia="es-MX"/>
                    </w:rPr>
                    <w:t xml:space="preserve"> SEMESTRE</w:t>
                  </w:r>
                </w:p>
              </w:tc>
            </w:tr>
            <w:tr w:rsidR="00E72540" w:rsidRPr="00945E1F" w:rsidTr="0087244E">
              <w:trPr>
                <w:trHeight w:val="108"/>
                <w:jc w:val="center"/>
              </w:trPr>
              <w:tc>
                <w:tcPr>
                  <w:tcW w:w="2612" w:type="dxa"/>
                  <w:vMerge/>
                  <w:tcBorders>
                    <w:top w:val="single" w:sz="4" w:space="0" w:color="auto"/>
                    <w:left w:val="single" w:sz="4" w:space="0" w:color="auto"/>
                    <w:bottom w:val="single" w:sz="4" w:space="0" w:color="auto"/>
                    <w:right w:val="single" w:sz="4" w:space="0" w:color="auto"/>
                  </w:tcBorders>
                  <w:vAlign w:val="center"/>
                  <w:hideMark/>
                </w:tcPr>
                <w:p w:rsidR="00E72540" w:rsidRPr="00945E1F" w:rsidRDefault="00E72540" w:rsidP="00E72540">
                  <w:pPr>
                    <w:spacing w:after="0" w:line="240" w:lineRule="auto"/>
                    <w:rPr>
                      <w:rFonts w:ascii="Arial" w:eastAsia="Times New Roman" w:hAnsi="Arial" w:cs="Arial"/>
                      <w:b/>
                      <w:bCs/>
                      <w:color w:val="000000"/>
                      <w:sz w:val="14"/>
                      <w:szCs w:val="14"/>
                      <w:lang w:eastAsia="es-MX"/>
                    </w:rPr>
                  </w:pPr>
                </w:p>
              </w:tc>
              <w:tc>
                <w:tcPr>
                  <w:tcW w:w="1898"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884"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c>
                <w:tcPr>
                  <w:tcW w:w="1926"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META</w:t>
                  </w:r>
                </w:p>
              </w:tc>
              <w:tc>
                <w:tcPr>
                  <w:tcW w:w="1644" w:type="dxa"/>
                  <w:gridSpan w:val="2"/>
                  <w:tcBorders>
                    <w:top w:val="single" w:sz="4" w:space="0" w:color="auto"/>
                    <w:left w:val="nil"/>
                    <w:bottom w:val="single" w:sz="4" w:space="0" w:color="auto"/>
                    <w:right w:val="single" w:sz="4" w:space="0" w:color="auto"/>
                  </w:tcBorders>
                  <w:shd w:val="clear" w:color="000000" w:fill="D9D9D9"/>
                  <w:vAlign w:val="center"/>
                  <w:hideMark/>
                </w:tcPr>
                <w:p w:rsidR="00E72540" w:rsidRPr="00945E1F" w:rsidRDefault="00E72540" w:rsidP="00E72540">
                  <w:pPr>
                    <w:spacing w:after="0" w:line="240" w:lineRule="auto"/>
                    <w:jc w:val="center"/>
                    <w:rPr>
                      <w:rFonts w:ascii="Arial" w:eastAsia="Times New Roman" w:hAnsi="Arial" w:cs="Arial"/>
                      <w:b/>
                      <w:bCs/>
                      <w:color w:val="000000"/>
                      <w:sz w:val="14"/>
                      <w:szCs w:val="14"/>
                      <w:lang w:eastAsia="es-MX"/>
                    </w:rPr>
                  </w:pPr>
                  <w:r w:rsidRPr="00945E1F">
                    <w:rPr>
                      <w:rFonts w:ascii="Arial" w:eastAsia="Times New Roman" w:hAnsi="Arial" w:cs="Arial"/>
                      <w:b/>
                      <w:bCs/>
                      <w:color w:val="000000"/>
                      <w:sz w:val="14"/>
                      <w:szCs w:val="14"/>
                      <w:lang w:eastAsia="es-MX"/>
                    </w:rPr>
                    <w:t>ALCANZADO</w:t>
                  </w:r>
                </w:p>
              </w:tc>
            </w:tr>
            <w:tr w:rsidR="00E72540" w:rsidRPr="00945E1F" w:rsidTr="0087244E">
              <w:trPr>
                <w:trHeight w:val="209"/>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A3717F" w:rsidP="00E72540">
                  <w:pPr>
                    <w:spacing w:after="0" w:line="240" w:lineRule="auto"/>
                    <w:jc w:val="both"/>
                    <w:rPr>
                      <w:rFonts w:ascii="Arial" w:eastAsia="Times New Roman" w:hAnsi="Arial" w:cs="Arial"/>
                      <w:color w:val="000000"/>
                      <w:sz w:val="14"/>
                      <w:szCs w:val="14"/>
                      <w:lang w:eastAsia="es-MX"/>
                    </w:rPr>
                  </w:pPr>
                  <w:r w:rsidRPr="00A3717F">
                    <w:rPr>
                      <w:rFonts w:ascii="Arial" w:eastAsia="Times New Roman" w:hAnsi="Arial" w:cs="Arial"/>
                      <w:color w:val="000000"/>
                      <w:sz w:val="14"/>
                      <w:szCs w:val="14"/>
                      <w:lang w:eastAsia="es-MX"/>
                    </w:rPr>
                    <w:t>Monto total obtenido por proyectos de investigación financiados con recursos externos</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50,000.00</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0.15</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33,211.00</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0.2</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A3717F"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50,000.00</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A3717F"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0.15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A3717F"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147,500.00</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A3717F"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0.46</w:t>
                  </w:r>
                </w:p>
              </w:tc>
            </w:tr>
            <w:tr w:rsidR="00E72540" w:rsidRPr="00945E1F" w:rsidTr="0087244E">
              <w:trPr>
                <w:trHeight w:val="141"/>
                <w:jc w:val="center"/>
              </w:trPr>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540" w:rsidRPr="00945E1F" w:rsidRDefault="00A3717F" w:rsidP="00E72540">
                  <w:pPr>
                    <w:spacing w:after="0" w:line="240" w:lineRule="auto"/>
                    <w:jc w:val="both"/>
                    <w:rPr>
                      <w:rFonts w:ascii="Arial" w:eastAsia="Times New Roman" w:hAnsi="Arial" w:cs="Arial"/>
                      <w:color w:val="000000"/>
                      <w:sz w:val="14"/>
                      <w:szCs w:val="14"/>
                      <w:lang w:eastAsia="es-MX"/>
                    </w:rPr>
                  </w:pPr>
                  <w:r w:rsidRPr="00A3717F">
                    <w:rPr>
                      <w:rFonts w:ascii="Arial" w:eastAsia="Times New Roman" w:hAnsi="Arial" w:cs="Arial"/>
                      <w:color w:val="000000"/>
                      <w:sz w:val="14"/>
                      <w:szCs w:val="14"/>
                      <w:lang w:eastAsia="es-MX"/>
                    </w:rPr>
                    <w:t>Monto total de recursos fiscales destinados a la investigación</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322,000.00</w:t>
                  </w:r>
                </w:p>
              </w:tc>
              <w:tc>
                <w:tcPr>
                  <w:tcW w:w="1012" w:type="dxa"/>
                  <w:vMerge/>
                  <w:tcBorders>
                    <w:top w:val="single" w:sz="4" w:space="0" w:color="auto"/>
                    <w:left w:val="single" w:sz="4" w:space="0" w:color="auto"/>
                    <w:bottom w:val="single" w:sz="4" w:space="0" w:color="auto"/>
                    <w:right w:val="single" w:sz="4" w:space="0" w:color="auto"/>
                  </w:tcBorders>
                  <w:vAlign w:val="center"/>
                </w:tcPr>
                <w:p w:rsidR="00E72540" w:rsidRPr="00945E1F" w:rsidRDefault="00E72540" w:rsidP="00E72540">
                  <w:pPr>
                    <w:spacing w:after="0" w:line="240" w:lineRule="auto"/>
                    <w:rPr>
                      <w:rFonts w:ascii="Arial" w:eastAsia="Times New Roman" w:hAnsi="Arial" w:cs="Arial"/>
                      <w:color w:val="000000"/>
                      <w:sz w:val="14"/>
                      <w:szCs w:val="14"/>
                      <w:lang w:eastAsia="es-MX"/>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E72540"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164,064.00</w:t>
                  </w:r>
                </w:p>
              </w:tc>
              <w:tc>
                <w:tcPr>
                  <w:tcW w:w="1006" w:type="dxa"/>
                  <w:vMerge/>
                  <w:tcBorders>
                    <w:top w:val="single" w:sz="4" w:space="0" w:color="auto"/>
                    <w:left w:val="single" w:sz="4" w:space="0" w:color="auto"/>
                    <w:bottom w:val="single" w:sz="4" w:space="0" w:color="auto"/>
                    <w:right w:val="single" w:sz="4" w:space="0" w:color="auto"/>
                  </w:tcBorders>
                  <w:vAlign w:val="center"/>
                </w:tcPr>
                <w:p w:rsidR="00E72540" w:rsidRPr="00945E1F" w:rsidRDefault="00E72540" w:rsidP="00E72540">
                  <w:pPr>
                    <w:spacing w:after="0" w:line="240" w:lineRule="auto"/>
                    <w:rPr>
                      <w:rFonts w:ascii="Arial" w:eastAsia="Times New Roman" w:hAnsi="Arial" w:cs="Arial"/>
                      <w:color w:val="000000"/>
                      <w:sz w:val="14"/>
                      <w:szCs w:val="14"/>
                      <w:lang w:eastAsia="es-MX"/>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A3717F"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322,000.00</w:t>
                  </w:r>
                </w:p>
              </w:tc>
              <w:tc>
                <w:tcPr>
                  <w:tcW w:w="1027" w:type="dxa"/>
                  <w:vMerge/>
                  <w:tcBorders>
                    <w:top w:val="single" w:sz="4" w:space="0" w:color="auto"/>
                    <w:left w:val="single" w:sz="4" w:space="0" w:color="auto"/>
                    <w:bottom w:val="single" w:sz="4" w:space="0" w:color="auto"/>
                    <w:right w:val="single" w:sz="4" w:space="0" w:color="auto"/>
                  </w:tcBorders>
                  <w:vAlign w:val="center"/>
                </w:tcPr>
                <w:p w:rsidR="00E72540" w:rsidRPr="00945E1F" w:rsidRDefault="00E72540" w:rsidP="00E72540">
                  <w:pPr>
                    <w:spacing w:after="0" w:line="240" w:lineRule="auto"/>
                    <w:rPr>
                      <w:rFonts w:ascii="Arial" w:eastAsia="Times New Roman" w:hAnsi="Arial" w:cs="Arial"/>
                      <w:color w:val="000000"/>
                      <w:sz w:val="14"/>
                      <w:szCs w:val="14"/>
                      <w:lang w:eastAsia="es-MX"/>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72540" w:rsidRPr="00945E1F" w:rsidRDefault="00A3717F" w:rsidP="00E7254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323,091.00</w:t>
                  </w: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E72540" w:rsidRPr="00945E1F" w:rsidRDefault="00E72540" w:rsidP="00E72540">
                  <w:pPr>
                    <w:spacing w:after="0" w:line="240" w:lineRule="auto"/>
                    <w:rPr>
                      <w:rFonts w:ascii="Arial" w:eastAsia="Times New Roman" w:hAnsi="Arial" w:cs="Arial"/>
                      <w:color w:val="000000"/>
                      <w:sz w:val="14"/>
                      <w:szCs w:val="14"/>
                      <w:lang w:eastAsia="es-MX"/>
                    </w:rPr>
                  </w:pPr>
                </w:p>
              </w:tc>
            </w:tr>
          </w:tbl>
          <w:p w:rsidR="00CB4372" w:rsidRDefault="00CB4372" w:rsidP="00E72540">
            <w:pPr>
              <w:ind w:right="143"/>
              <w:jc w:val="both"/>
              <w:rPr>
                <w:b/>
              </w:rPr>
            </w:pPr>
          </w:p>
          <w:p w:rsidR="001E2A7F" w:rsidRDefault="005E599B" w:rsidP="001E2A7F">
            <w:pPr>
              <w:ind w:left="164" w:right="143"/>
              <w:jc w:val="both"/>
            </w:pPr>
            <w:r>
              <w:t xml:space="preserve">Asimismo, en el informe se señalan las recomendaciones realizadas por este OIC, derivadas de la revisión del desempeño, así como de la revisión a los procedimientos establecidos en la normatividad actual. </w:t>
            </w:r>
          </w:p>
          <w:p w:rsidR="001E2A7F" w:rsidRDefault="001E2A7F" w:rsidP="001E2A7F">
            <w:pPr>
              <w:ind w:left="164" w:right="143"/>
              <w:jc w:val="both"/>
            </w:pPr>
          </w:p>
          <w:p w:rsidR="00794E49" w:rsidRDefault="00794E49" w:rsidP="006E661B">
            <w:pPr>
              <w:jc w:val="center"/>
            </w:pPr>
          </w:p>
          <w:p w:rsidR="00AE452F" w:rsidRDefault="00AE452F" w:rsidP="006E661B">
            <w:pPr>
              <w:jc w:val="center"/>
            </w:pPr>
          </w:p>
          <w:p w:rsidR="00BD4678" w:rsidRDefault="00BD4678" w:rsidP="006E661B">
            <w:pPr>
              <w:jc w:val="center"/>
            </w:pPr>
            <w:r>
              <w:t>ATENTAMENTE</w:t>
            </w:r>
          </w:p>
          <w:p w:rsidR="00BD4678" w:rsidRDefault="00D84A2C" w:rsidP="006E661B">
            <w:pPr>
              <w:jc w:val="center"/>
            </w:pPr>
            <w:r>
              <w:t>LA</w:t>
            </w:r>
            <w:r w:rsidR="00BD4678">
              <w:t xml:space="preserve"> TITULAR DEL ÓRGANO INTERNO DE CONTROL EN EL INAOE</w:t>
            </w:r>
          </w:p>
          <w:p w:rsidR="006E661B" w:rsidRDefault="006E661B" w:rsidP="006E661B"/>
          <w:p w:rsidR="006E661B" w:rsidRDefault="006E661B" w:rsidP="006E661B">
            <w:pPr>
              <w:jc w:val="center"/>
            </w:pPr>
          </w:p>
          <w:p w:rsidR="00794E49" w:rsidRDefault="00794E49" w:rsidP="006E661B">
            <w:pPr>
              <w:jc w:val="center"/>
            </w:pPr>
          </w:p>
          <w:p w:rsidR="00794E49" w:rsidRDefault="00794E49" w:rsidP="006E661B">
            <w:pPr>
              <w:jc w:val="center"/>
            </w:pPr>
          </w:p>
          <w:p w:rsidR="005E599B" w:rsidRDefault="00D84A2C" w:rsidP="006E661B">
            <w:pPr>
              <w:jc w:val="center"/>
              <w:rPr>
                <w:b/>
              </w:rPr>
            </w:pPr>
            <w:r>
              <w:rPr>
                <w:b/>
              </w:rPr>
              <w:t xml:space="preserve">DRA. MARÍA MARGARITA ARGÜELLES </w:t>
            </w:r>
            <w:r w:rsidR="004E6DB6">
              <w:rPr>
                <w:b/>
              </w:rPr>
              <w:t>GÓMEZ</w:t>
            </w:r>
            <w:r>
              <w:rPr>
                <w:b/>
              </w:rPr>
              <w:t xml:space="preserve"> </w:t>
            </w:r>
          </w:p>
          <w:p w:rsidR="006E661B" w:rsidRDefault="006E661B" w:rsidP="006E661B">
            <w:pPr>
              <w:jc w:val="center"/>
              <w:rPr>
                <w:b/>
              </w:rPr>
            </w:pPr>
          </w:p>
          <w:p w:rsidR="00A64FCF" w:rsidRDefault="00A64FCF" w:rsidP="006E661B">
            <w:pPr>
              <w:jc w:val="center"/>
              <w:rPr>
                <w:b/>
              </w:rPr>
            </w:pPr>
          </w:p>
          <w:p w:rsidR="00794E49" w:rsidRDefault="00794E49" w:rsidP="00794E49">
            <w:pPr>
              <w:rPr>
                <w:b/>
              </w:rPr>
            </w:pPr>
          </w:p>
          <w:p w:rsidR="00866E44" w:rsidRDefault="00866E44" w:rsidP="00794E49">
            <w:pPr>
              <w:rPr>
                <w:b/>
              </w:rPr>
            </w:pPr>
          </w:p>
          <w:p w:rsidR="00866E44" w:rsidRDefault="00866E44" w:rsidP="00794E49">
            <w:pPr>
              <w:rPr>
                <w:b/>
              </w:rPr>
            </w:pPr>
          </w:p>
          <w:p w:rsidR="00866E44" w:rsidRDefault="00866E44" w:rsidP="00794E49">
            <w:pPr>
              <w:rPr>
                <w:b/>
              </w:rPr>
            </w:pPr>
          </w:p>
          <w:p w:rsidR="00866E44" w:rsidRDefault="00866E44" w:rsidP="00794E49">
            <w:pPr>
              <w:rPr>
                <w:b/>
              </w:rPr>
            </w:pPr>
          </w:p>
          <w:p w:rsidR="00866E44" w:rsidRDefault="00866E44" w:rsidP="00794E49">
            <w:pPr>
              <w:rPr>
                <w:b/>
              </w:rPr>
            </w:pPr>
          </w:p>
          <w:p w:rsidR="00866E44" w:rsidRDefault="00866E44" w:rsidP="00794E49">
            <w:pPr>
              <w:rPr>
                <w:b/>
              </w:rPr>
            </w:pPr>
          </w:p>
          <w:p w:rsidR="00866E44" w:rsidRDefault="00866E44" w:rsidP="00794E49">
            <w:pPr>
              <w:rPr>
                <w:b/>
              </w:rPr>
            </w:pPr>
          </w:p>
          <w:p w:rsidR="00A64FCF" w:rsidRDefault="00A64FCF" w:rsidP="00A64FCF">
            <w:pPr>
              <w:rPr>
                <w:b/>
              </w:rPr>
            </w:pPr>
          </w:p>
          <w:p w:rsidR="006E661B" w:rsidRDefault="006E661B" w:rsidP="00C9547D">
            <w:pPr>
              <w:ind w:left="164"/>
              <w:rPr>
                <w:sz w:val="18"/>
                <w:szCs w:val="18"/>
              </w:rPr>
            </w:pPr>
            <w:r w:rsidRPr="006E661B">
              <w:rPr>
                <w:b/>
                <w:sz w:val="18"/>
                <w:szCs w:val="18"/>
              </w:rPr>
              <w:t xml:space="preserve">C.c.p. LIC. RAFAEL OBREGÓN CASTELLANOS, </w:t>
            </w:r>
            <w:r w:rsidRPr="006E661B">
              <w:rPr>
                <w:sz w:val="18"/>
                <w:szCs w:val="18"/>
              </w:rPr>
              <w:t>TITULAR DE LA UNIDAD DE CONTROL Y EVALUACIÓN DE LA GESTIÓN PÚBLICA DE LA SFP</w:t>
            </w:r>
            <w:r>
              <w:rPr>
                <w:sz w:val="18"/>
                <w:szCs w:val="18"/>
              </w:rPr>
              <w:t>.</w:t>
            </w:r>
            <w:r w:rsidRPr="006E661B">
              <w:rPr>
                <w:sz w:val="18"/>
                <w:szCs w:val="18"/>
              </w:rPr>
              <w:t>- PRESENTE.</w:t>
            </w:r>
          </w:p>
          <w:p w:rsidR="00794E49" w:rsidRDefault="00794E49" w:rsidP="00C9547D">
            <w:pPr>
              <w:ind w:left="164"/>
              <w:rPr>
                <w:sz w:val="18"/>
                <w:szCs w:val="18"/>
              </w:rPr>
            </w:pPr>
          </w:p>
          <w:p w:rsidR="00AE452F" w:rsidRDefault="00AE452F" w:rsidP="00794E49">
            <w:pPr>
              <w:rPr>
                <w:sz w:val="18"/>
                <w:szCs w:val="18"/>
              </w:rPr>
            </w:pPr>
          </w:p>
          <w:p w:rsidR="006E661B" w:rsidRDefault="006E661B" w:rsidP="006E661B">
            <w:pPr>
              <w:rPr>
                <w:sz w:val="18"/>
                <w:szCs w:val="18"/>
              </w:rPr>
            </w:pPr>
          </w:p>
          <w:p w:rsidR="006E661B" w:rsidRDefault="006E661B" w:rsidP="006E661B">
            <w:pPr>
              <w:rPr>
                <w:sz w:val="18"/>
                <w:szCs w:val="18"/>
              </w:rPr>
            </w:pPr>
          </w:p>
          <w:p w:rsidR="006E661B" w:rsidRDefault="006E661B" w:rsidP="006E661B">
            <w:pPr>
              <w:rPr>
                <w:sz w:val="18"/>
                <w:szCs w:val="18"/>
              </w:rPr>
            </w:pPr>
          </w:p>
          <w:p w:rsidR="00CB4372" w:rsidRDefault="00CB4372" w:rsidP="006E661B">
            <w:pPr>
              <w:rPr>
                <w:sz w:val="18"/>
                <w:szCs w:val="18"/>
              </w:rPr>
            </w:pPr>
          </w:p>
          <w:p w:rsidR="00AE452F" w:rsidRDefault="00AE452F" w:rsidP="006E661B">
            <w:pPr>
              <w:rPr>
                <w:sz w:val="18"/>
                <w:szCs w:val="18"/>
              </w:rPr>
            </w:pPr>
          </w:p>
          <w:p w:rsidR="00AE452F" w:rsidRDefault="00AE452F" w:rsidP="006E661B">
            <w:pPr>
              <w:rPr>
                <w:sz w:val="18"/>
                <w:szCs w:val="18"/>
              </w:rPr>
            </w:pPr>
          </w:p>
          <w:p w:rsidR="0020340A" w:rsidRDefault="0020340A" w:rsidP="006E661B">
            <w:pPr>
              <w:rPr>
                <w:sz w:val="18"/>
                <w:szCs w:val="18"/>
              </w:rPr>
            </w:pPr>
          </w:p>
          <w:p w:rsidR="00412E3F" w:rsidRDefault="00412E3F" w:rsidP="006E661B">
            <w:pPr>
              <w:rPr>
                <w:sz w:val="18"/>
                <w:szCs w:val="18"/>
              </w:rPr>
            </w:pPr>
          </w:p>
          <w:p w:rsidR="00412E3F" w:rsidRDefault="00412E3F" w:rsidP="006E661B">
            <w:pPr>
              <w:rPr>
                <w:sz w:val="18"/>
                <w:szCs w:val="18"/>
              </w:rPr>
            </w:pPr>
          </w:p>
          <w:p w:rsidR="00412E3F" w:rsidRDefault="00412E3F" w:rsidP="006E661B">
            <w:pPr>
              <w:rPr>
                <w:sz w:val="18"/>
                <w:szCs w:val="18"/>
              </w:rPr>
            </w:pPr>
          </w:p>
          <w:p w:rsidR="00BE13C8" w:rsidRDefault="00BE13C8" w:rsidP="00102B62">
            <w:pPr>
              <w:rPr>
                <w:b/>
              </w:rPr>
            </w:pPr>
          </w:p>
          <w:p w:rsidR="006E661B" w:rsidRDefault="006E661B" w:rsidP="006E661B">
            <w:pPr>
              <w:jc w:val="center"/>
              <w:rPr>
                <w:b/>
              </w:rPr>
            </w:pPr>
            <w:r w:rsidRPr="006E661B">
              <w:rPr>
                <w:b/>
              </w:rPr>
              <w:t>ÍNDICE</w:t>
            </w:r>
          </w:p>
          <w:p w:rsidR="006E661B" w:rsidRDefault="006E661B" w:rsidP="006E661B">
            <w:pPr>
              <w:jc w:val="center"/>
              <w:rPr>
                <w:b/>
              </w:rPr>
            </w:pPr>
          </w:p>
          <w:p w:rsidR="006E661B" w:rsidRDefault="006E661B" w:rsidP="006E661B">
            <w:pPr>
              <w:jc w:val="center"/>
              <w:rPr>
                <w:b/>
              </w:rPr>
            </w:pPr>
          </w:p>
          <w:p w:rsidR="006E661B" w:rsidRDefault="006E661B" w:rsidP="006E661B">
            <w:pPr>
              <w:jc w:val="center"/>
              <w:rPr>
                <w:b/>
              </w:rPr>
            </w:pPr>
          </w:p>
          <w:p w:rsidR="006E661B" w:rsidRDefault="006E661B" w:rsidP="00CB4372">
            <w:pPr>
              <w:pStyle w:val="Prrafodelista"/>
              <w:numPr>
                <w:ilvl w:val="0"/>
                <w:numId w:val="15"/>
              </w:numPr>
              <w:spacing w:line="720" w:lineRule="auto"/>
              <w:ind w:firstLine="2704"/>
              <w:rPr>
                <w:b/>
              </w:rPr>
            </w:pPr>
            <w:r w:rsidRPr="006E661B">
              <w:t>ANTECEDENTES</w:t>
            </w:r>
            <w:r>
              <w:rPr>
                <w:b/>
              </w:rPr>
              <w:t xml:space="preserve"> </w:t>
            </w:r>
            <w:r w:rsidR="005D1CBA">
              <w:t>DE LA AUDITORÍA…………………………</w:t>
            </w:r>
            <w:r w:rsidR="004E6DB6">
              <w:t>……</w:t>
            </w:r>
            <w:r w:rsidR="00C85CB2">
              <w:t xml:space="preserve">9 </w:t>
            </w:r>
          </w:p>
          <w:p w:rsidR="006E661B" w:rsidRPr="006E661B" w:rsidRDefault="006E661B" w:rsidP="00CB4372">
            <w:pPr>
              <w:pStyle w:val="Prrafodelista"/>
              <w:numPr>
                <w:ilvl w:val="0"/>
                <w:numId w:val="15"/>
              </w:numPr>
              <w:spacing w:line="720" w:lineRule="auto"/>
              <w:ind w:firstLine="2704"/>
            </w:pPr>
            <w:r w:rsidRPr="006E661B">
              <w:t xml:space="preserve">OBJETO Y </w:t>
            </w:r>
            <w:r w:rsidR="00980C9B">
              <w:t>PERIODO REVISADO…</w:t>
            </w:r>
            <w:r w:rsidRPr="006E661B">
              <w:t>………………</w:t>
            </w:r>
            <w:r w:rsidR="004E6DB6" w:rsidRPr="006E661B">
              <w:t>……</w:t>
            </w:r>
            <w:proofErr w:type="gramStart"/>
            <w:r w:rsidR="005D1CBA">
              <w:t>…</w:t>
            </w:r>
            <w:r w:rsidR="004E6DB6">
              <w:t>….</w:t>
            </w:r>
            <w:proofErr w:type="gramEnd"/>
            <w:r w:rsidR="005D1CBA">
              <w:t>…</w:t>
            </w:r>
            <w:r w:rsidR="004E6DB6">
              <w:t>……</w:t>
            </w:r>
            <w:r w:rsidR="005D1CBA">
              <w:t>14</w:t>
            </w:r>
          </w:p>
          <w:p w:rsidR="006E661B" w:rsidRPr="006E661B" w:rsidRDefault="006E661B" w:rsidP="00CB4372">
            <w:pPr>
              <w:pStyle w:val="Prrafodelista"/>
              <w:numPr>
                <w:ilvl w:val="0"/>
                <w:numId w:val="15"/>
              </w:numPr>
              <w:spacing w:line="720" w:lineRule="auto"/>
              <w:ind w:firstLine="2704"/>
            </w:pPr>
            <w:r w:rsidRPr="006E661B">
              <w:t xml:space="preserve">RESULTADO DE </w:t>
            </w:r>
            <w:r w:rsidR="00FB4BC5">
              <w:t>L</w:t>
            </w:r>
            <w:r w:rsidR="005D1CBA">
              <w:t>OS TRABAJOS DESARROLLADOS…</w:t>
            </w:r>
            <w:proofErr w:type="gramStart"/>
            <w:r w:rsidR="005D1CBA">
              <w:t>…….</w:t>
            </w:r>
            <w:proofErr w:type="gramEnd"/>
            <w:r w:rsidR="005D1CBA">
              <w:t>.1</w:t>
            </w:r>
            <w:r w:rsidR="00C85CB2">
              <w:t xml:space="preserve">4 </w:t>
            </w:r>
            <w:bookmarkStart w:id="0" w:name="_GoBack"/>
            <w:bookmarkEnd w:id="0"/>
          </w:p>
          <w:p w:rsidR="006E661B" w:rsidRPr="006E661B" w:rsidRDefault="006E661B" w:rsidP="00CB4372">
            <w:pPr>
              <w:pStyle w:val="Prrafodelista"/>
              <w:numPr>
                <w:ilvl w:val="0"/>
                <w:numId w:val="15"/>
              </w:numPr>
              <w:spacing w:line="720" w:lineRule="auto"/>
              <w:ind w:firstLine="2704"/>
            </w:pPr>
            <w:r w:rsidRPr="006E661B">
              <w:t>CONCLUSION</w:t>
            </w:r>
            <w:r w:rsidR="00934AD6">
              <w:t>ES………………………………………………</w:t>
            </w:r>
            <w:proofErr w:type="gramStart"/>
            <w:r w:rsidR="00934AD6">
              <w:t>…….</w:t>
            </w:r>
            <w:proofErr w:type="gramEnd"/>
            <w:r w:rsidR="00934AD6">
              <w:t>.</w:t>
            </w:r>
            <w:r w:rsidR="005D1CBA">
              <w:t>…….17</w:t>
            </w:r>
          </w:p>
          <w:p w:rsidR="006E661B" w:rsidRDefault="006E661B" w:rsidP="006E661B">
            <w:pPr>
              <w:pStyle w:val="Prrafodelista"/>
              <w:spacing w:line="720" w:lineRule="auto"/>
              <w:ind w:left="3424"/>
            </w:pPr>
          </w:p>
          <w:p w:rsidR="000B3D19" w:rsidRDefault="000B3D19" w:rsidP="000B3D19">
            <w:pPr>
              <w:pStyle w:val="Sinespaciado"/>
            </w:pPr>
          </w:p>
          <w:p w:rsidR="00BE13C8" w:rsidRDefault="00BE13C8" w:rsidP="000B3D19">
            <w:pPr>
              <w:pStyle w:val="Sinespaciado"/>
            </w:pPr>
          </w:p>
          <w:p w:rsidR="00BE13C8" w:rsidRDefault="00BE13C8" w:rsidP="000B3D19">
            <w:pPr>
              <w:pStyle w:val="Sinespaciado"/>
            </w:pPr>
          </w:p>
          <w:p w:rsidR="00BE13C8" w:rsidRDefault="00BE13C8" w:rsidP="000B3D19">
            <w:pPr>
              <w:pStyle w:val="Sinespaciado"/>
            </w:pPr>
          </w:p>
          <w:p w:rsidR="00BE13C8" w:rsidRDefault="00BE13C8" w:rsidP="000B3D19">
            <w:pPr>
              <w:pStyle w:val="Sinespaciado"/>
            </w:pPr>
          </w:p>
          <w:p w:rsidR="00143530" w:rsidRDefault="00143530" w:rsidP="00143530">
            <w:pPr>
              <w:pStyle w:val="Sinespaciado"/>
              <w:ind w:left="720" w:right="143"/>
              <w:rPr>
                <w:b/>
              </w:rPr>
            </w:pPr>
          </w:p>
          <w:p w:rsidR="00D069DE" w:rsidRPr="00435DB6" w:rsidRDefault="000B3D19" w:rsidP="0082585A">
            <w:pPr>
              <w:pStyle w:val="Sinespaciado"/>
              <w:numPr>
                <w:ilvl w:val="0"/>
                <w:numId w:val="15"/>
              </w:numPr>
              <w:ind w:right="143"/>
              <w:rPr>
                <w:b/>
              </w:rPr>
            </w:pPr>
            <w:r w:rsidRPr="00435DB6">
              <w:rPr>
                <w:b/>
              </w:rPr>
              <w:t>ANTECEDENTES DE LA AUDITORÍA</w:t>
            </w:r>
            <w:r w:rsidR="00D069DE" w:rsidRPr="00435DB6">
              <w:rPr>
                <w:b/>
              </w:rPr>
              <w:t xml:space="preserve"> </w:t>
            </w:r>
          </w:p>
          <w:p w:rsidR="00435DB6" w:rsidRDefault="00435DB6" w:rsidP="0082585A">
            <w:pPr>
              <w:pStyle w:val="Sinespaciado"/>
              <w:spacing w:line="276" w:lineRule="auto"/>
              <w:ind w:left="1156" w:right="143"/>
              <w:jc w:val="both"/>
            </w:pPr>
          </w:p>
          <w:p w:rsidR="00D069DE" w:rsidRDefault="00D069DE" w:rsidP="0082585A">
            <w:pPr>
              <w:pStyle w:val="Sinespaciado"/>
              <w:spacing w:line="276" w:lineRule="auto"/>
              <w:ind w:left="164" w:right="143"/>
              <w:jc w:val="both"/>
            </w:pPr>
            <w:r w:rsidRPr="00D069DE">
              <w:t>E</w:t>
            </w:r>
            <w:r w:rsidR="000B3D19" w:rsidRPr="000B3D19">
              <w:t>n el Instituto Nacional de Astrofísica, Óptica</w:t>
            </w:r>
            <w:r w:rsidR="000B3D19">
              <w:t xml:space="preserve"> y Electrónica (INAOE) es un organismo público descentralizado, con personalidad jurídica</w:t>
            </w:r>
            <w:r>
              <w:t xml:space="preserve"> y patrimonio propio, con autonomía de decisión técnica, operativa y administrativa, creado mediante decreto publicado en el Diario Oficial de la Federación el 12 de noviembre de 1971, el cual fue derogado para ser reformado mediante decreto publicado en el Diario Oficial de la Federación el 30 de agosto de 2000 y reestructurado mediante decreto publicado en el Diario Oficial de la Federación el 13 de octubre de 2006.</w:t>
            </w:r>
          </w:p>
          <w:p w:rsidR="00980C9B" w:rsidRDefault="00980C9B" w:rsidP="0082585A">
            <w:pPr>
              <w:pStyle w:val="Sinespaciado"/>
              <w:spacing w:line="276" w:lineRule="auto"/>
              <w:ind w:left="164" w:right="143"/>
              <w:jc w:val="both"/>
            </w:pPr>
          </w:p>
          <w:p w:rsidR="00E034B5" w:rsidRDefault="00D069DE" w:rsidP="00E034B5">
            <w:pPr>
              <w:pStyle w:val="Sinespaciado"/>
              <w:spacing w:line="276" w:lineRule="auto"/>
              <w:ind w:left="164" w:right="143"/>
              <w:jc w:val="both"/>
            </w:pPr>
            <w:r>
              <w:t xml:space="preserve">El INAOE tiene por objeto realizar y fomentar actividades de investigación científica, básica y aplicada, en las materias que indican el desarrollo y la vinculación de México, el desarrollo experimental, la innovación tecnológica, y la formación especializada de capital humano en los campos de la astrofísica, la óptica, la electrónica, las telecomunicaciones, la computación, la instrumentación y demás disciplinas afines, así </w:t>
            </w:r>
            <w:r w:rsidR="0065344F">
              <w:t xml:space="preserve">como de difundir los resultados de sus investigaciones. </w:t>
            </w:r>
          </w:p>
          <w:p w:rsidR="00E034B5" w:rsidRDefault="00E034B5" w:rsidP="00E034B5">
            <w:pPr>
              <w:pStyle w:val="Sinespaciado"/>
              <w:spacing w:line="276" w:lineRule="auto"/>
              <w:ind w:left="164" w:right="143"/>
              <w:jc w:val="both"/>
            </w:pPr>
          </w:p>
          <w:p w:rsidR="00E034B5" w:rsidRPr="00E034B5" w:rsidRDefault="00E034B5" w:rsidP="00E034B5">
            <w:pPr>
              <w:pStyle w:val="Sinespaciado"/>
              <w:spacing w:line="276" w:lineRule="auto"/>
              <w:ind w:left="164" w:right="143"/>
              <w:jc w:val="both"/>
            </w:pPr>
            <w:r w:rsidRPr="00E034B5">
              <w:t>El Convenio de Administración por Resultados tiene por objeto regular las relaciones del Instituto con las dependencias de la Administraci</w:t>
            </w:r>
            <w:r w:rsidR="00BB2E3A">
              <w:t>ón Pública Federal y el CONACYT, a</w:t>
            </w:r>
            <w:r w:rsidRPr="00E034B5">
              <w:t>demás de establecer los compromisos de resultados que asumirá para mejorar sus actividades, alcanzar las metas y lograr los resultados programados y convenidos; tener una actuación y un ejercicio de gasto y rendición de cuentas más eficiente y transparente, así como vincular la administración por resultados e impactos con el monto del presupuesto que se le asigne. Asimismo, se establecen mecanismos para evaluar el desempeño del Instituto y el impacto de sus acciones, permitiéndole tomar las decisiones adecuadas para garantizar la obtención de los resultados esperados, coadyuvar al desarrollo y solución de los problemas de su entorno, mejorar sus procesos, y servir de referente para la etapa de formulación de su presupuesto y la rendición de cuentas.</w:t>
            </w:r>
          </w:p>
          <w:p w:rsidR="0065344F" w:rsidRDefault="0065344F" w:rsidP="00BB2E3A">
            <w:pPr>
              <w:pStyle w:val="Sinespaciado"/>
              <w:spacing w:line="276" w:lineRule="auto"/>
              <w:ind w:right="143"/>
              <w:jc w:val="both"/>
            </w:pPr>
          </w:p>
          <w:p w:rsidR="0065344F" w:rsidRDefault="00397C77" w:rsidP="0082585A">
            <w:pPr>
              <w:pStyle w:val="Sinespaciado"/>
              <w:spacing w:line="276" w:lineRule="auto"/>
              <w:ind w:left="164" w:right="143"/>
              <w:jc w:val="both"/>
            </w:pPr>
            <w:r>
              <w:t xml:space="preserve">De acuerdo </w:t>
            </w:r>
            <w:r w:rsidR="00E034B5">
              <w:t>al Convenio de Administración por Resultados (CAR)</w:t>
            </w:r>
            <w:r>
              <w:t xml:space="preserve">, aprobado mediante </w:t>
            </w:r>
            <w:r w:rsidRPr="00BB727C">
              <w:t xml:space="preserve">acuerdo </w:t>
            </w:r>
            <w:r w:rsidR="00BB727C" w:rsidRPr="00BB727C">
              <w:t>R-JG-O-24</w:t>
            </w:r>
            <w:r w:rsidR="007203DE" w:rsidRPr="00BB727C">
              <w:t>-I-</w:t>
            </w:r>
            <w:r w:rsidR="00BB727C" w:rsidRPr="00BB727C">
              <w:t>2009</w:t>
            </w:r>
            <w:r w:rsidR="001057FD" w:rsidRPr="00BB727C">
              <w:t xml:space="preserve">, en la </w:t>
            </w:r>
            <w:r w:rsidR="00BB727C" w:rsidRPr="00BB727C">
              <w:t xml:space="preserve">Primera </w:t>
            </w:r>
            <w:r w:rsidR="005B516B" w:rsidRPr="00BB727C">
              <w:t>Sesión Ordi</w:t>
            </w:r>
            <w:r w:rsidR="007203DE" w:rsidRPr="00BB727C">
              <w:t>n</w:t>
            </w:r>
            <w:r w:rsidR="005B516B" w:rsidRPr="00BB727C">
              <w:t>a</w:t>
            </w:r>
            <w:r w:rsidR="00BB727C" w:rsidRPr="00BB727C">
              <w:t>ria 2009</w:t>
            </w:r>
            <w:r w:rsidR="007203DE" w:rsidRPr="00BB727C">
              <w:t xml:space="preserve">, </w:t>
            </w:r>
            <w:r w:rsidR="00BB727C" w:rsidRPr="00BB727C">
              <w:t>celebrada el 15</w:t>
            </w:r>
            <w:r w:rsidR="001057FD" w:rsidRPr="00BB727C">
              <w:t xml:space="preserve"> de </w:t>
            </w:r>
            <w:r w:rsidR="00BB727C" w:rsidRPr="00BB727C">
              <w:t xml:space="preserve">junio </w:t>
            </w:r>
            <w:r w:rsidR="001057FD" w:rsidRPr="00BB727C">
              <w:t>de 20</w:t>
            </w:r>
            <w:r w:rsidR="00BB727C">
              <w:t>09</w:t>
            </w:r>
            <w:r w:rsidR="001057FD">
              <w:t xml:space="preserve">, </w:t>
            </w:r>
            <w:r w:rsidR="007203DE">
              <w:t>por la H. Junta de Gobierno se verificó que</w:t>
            </w:r>
            <w:r w:rsidR="00E034B5">
              <w:t xml:space="preserve"> el Centro</w:t>
            </w:r>
            <w:r w:rsidR="007203DE">
              <w:t xml:space="preserve">, tiene </w:t>
            </w:r>
            <w:r w:rsidR="005B516B">
              <w:t>las siguientes atribuciones</w:t>
            </w:r>
            <w:r w:rsidR="007203DE">
              <w:t>:</w:t>
            </w:r>
          </w:p>
          <w:p w:rsidR="00B164CB" w:rsidRDefault="00B164CB" w:rsidP="0082585A">
            <w:pPr>
              <w:pStyle w:val="Sinespaciado"/>
              <w:spacing w:line="276" w:lineRule="auto"/>
              <w:ind w:left="164" w:right="143"/>
              <w:jc w:val="both"/>
            </w:pPr>
          </w:p>
          <w:p w:rsidR="00B164CB" w:rsidRDefault="00BB727C" w:rsidP="00BB727C">
            <w:pPr>
              <w:pStyle w:val="Sinespaciado"/>
              <w:numPr>
                <w:ilvl w:val="0"/>
                <w:numId w:val="27"/>
              </w:numPr>
              <w:spacing w:line="276" w:lineRule="auto"/>
              <w:ind w:right="143"/>
              <w:jc w:val="both"/>
            </w:pPr>
            <w:r>
              <w:lastRenderedPageBreak/>
              <w:t xml:space="preserve">Es un organismo descentralizado de participación estatal mayoritaria denominado Instituto Nacional de </w:t>
            </w:r>
            <w:r w:rsidR="009C48DD">
              <w:t>Astrofísica</w:t>
            </w:r>
            <w:r>
              <w:t xml:space="preserve">, Óptica y </w:t>
            </w:r>
            <w:r w:rsidR="009C48DD">
              <w:t>Electrónica, constituido de conformidad con el decreto publicado el 13 de octubre de 2006;</w:t>
            </w:r>
          </w:p>
          <w:p w:rsidR="00CA6B4B" w:rsidRDefault="00CA6B4B" w:rsidP="00CA6B4B">
            <w:pPr>
              <w:pStyle w:val="Sinespaciado"/>
              <w:spacing w:line="276" w:lineRule="auto"/>
              <w:ind w:left="524" w:right="143"/>
              <w:jc w:val="both"/>
            </w:pPr>
          </w:p>
          <w:p w:rsidR="00CA6B4B" w:rsidRDefault="009C48DD" w:rsidP="00BB727C">
            <w:pPr>
              <w:pStyle w:val="Sinespaciado"/>
              <w:numPr>
                <w:ilvl w:val="0"/>
                <w:numId w:val="27"/>
              </w:numPr>
              <w:spacing w:line="276" w:lineRule="auto"/>
              <w:ind w:right="143"/>
              <w:jc w:val="both"/>
            </w:pPr>
            <w:r>
              <w:t>Su objeto es realizar y fomentar actividades de investigación</w:t>
            </w:r>
            <w:r w:rsidR="00CA6B4B">
              <w:t xml:space="preserve"> científica básica y aplicada, en materias que incidan en el desarrollo y la vinculación de México, el desarrollo experimental, la innovación tecnológica y la formación especializada de capital humano en los campos de la astrofísica, la óptica, la electrónica, las telecomunicaciones, la computación, la instrumentación y demás disciplinas afines, asi como la de difundir los resultados de sus investigaciones;</w:t>
            </w:r>
          </w:p>
          <w:p w:rsidR="00CA6B4B" w:rsidRDefault="00CA6B4B" w:rsidP="00CA6B4B">
            <w:pPr>
              <w:pStyle w:val="Sinespaciado"/>
              <w:spacing w:line="276" w:lineRule="auto"/>
              <w:ind w:right="143"/>
              <w:jc w:val="both"/>
            </w:pPr>
          </w:p>
          <w:p w:rsidR="009C48DD" w:rsidRDefault="00CA6B4B" w:rsidP="00BB727C">
            <w:pPr>
              <w:pStyle w:val="Sinespaciado"/>
              <w:numPr>
                <w:ilvl w:val="0"/>
                <w:numId w:val="27"/>
              </w:numPr>
              <w:spacing w:line="276" w:lineRule="auto"/>
              <w:ind w:right="143"/>
              <w:jc w:val="both"/>
            </w:pPr>
            <w:r>
              <w:t xml:space="preserve">Mediante resolución conjunta del CONACYT y la Secretaría de Educación Pública, publicada en el Diario Oficial de la Federación el 11 de septiembre del 2000, fue reconocido como centro público de investigación, por lo que es necesario que suscriba el CONVENIO de acuerdo con el artículo 47 de la LEY, y  </w:t>
            </w:r>
            <w:r w:rsidR="009C48DD">
              <w:t xml:space="preserve"> </w:t>
            </w:r>
          </w:p>
          <w:p w:rsidR="00CA6B4B" w:rsidRDefault="00CA6B4B" w:rsidP="00CA6B4B">
            <w:pPr>
              <w:pStyle w:val="Prrafodelista"/>
            </w:pPr>
          </w:p>
          <w:p w:rsidR="006615FB" w:rsidRDefault="00CA6B4B" w:rsidP="006615FB">
            <w:pPr>
              <w:pStyle w:val="Sinespaciado"/>
              <w:numPr>
                <w:ilvl w:val="0"/>
                <w:numId w:val="27"/>
              </w:numPr>
              <w:spacing w:line="276" w:lineRule="auto"/>
              <w:ind w:right="143"/>
              <w:jc w:val="both"/>
            </w:pPr>
            <w:r>
              <w:t xml:space="preserve">Su representante cuenta con facultades para suscribir el CONVENIO, con fundamento en el </w:t>
            </w:r>
            <w:r w:rsidR="006615FB">
              <w:t>artículo</w:t>
            </w:r>
            <w:r>
              <w:t xml:space="preserve"> 20 </w:t>
            </w:r>
            <w:r w:rsidR="006615FB">
              <w:t>fracción</w:t>
            </w:r>
            <w:r>
              <w:t xml:space="preserve"> II del Decreto por el cual se reestructura en el Instituto Nacional </w:t>
            </w:r>
            <w:r w:rsidR="006615FB">
              <w:t>de Astrofísica, Óptica y Electrónica, publicado en el Diario Oficial de la Federación el 13 de octubre de 2006.</w:t>
            </w:r>
          </w:p>
          <w:p w:rsidR="006615FB" w:rsidRDefault="006615FB" w:rsidP="006615FB">
            <w:pPr>
              <w:pStyle w:val="Sinespaciado"/>
              <w:spacing w:line="276" w:lineRule="auto"/>
              <w:ind w:right="143"/>
              <w:jc w:val="both"/>
            </w:pPr>
          </w:p>
          <w:p w:rsidR="006615FB" w:rsidRDefault="006615FB" w:rsidP="0082585A">
            <w:pPr>
              <w:pStyle w:val="Sinespaciado"/>
              <w:spacing w:line="276" w:lineRule="auto"/>
              <w:ind w:left="164" w:right="143"/>
              <w:jc w:val="both"/>
            </w:pPr>
            <w:r>
              <w:t>Con fundamento en los artículos 3º., 26, 31, 37, 45, 48, 49 y 50 de la LEY ORGÁNICA, y 15 del Reglamento de la LEY DE ENTIDADES; así como el artículo 2 de su Decreto de Reestructuración, y 59 de la LEY.</w:t>
            </w:r>
          </w:p>
          <w:p w:rsidR="006615FB" w:rsidRDefault="006615FB" w:rsidP="0082585A">
            <w:pPr>
              <w:pStyle w:val="Sinespaciado"/>
              <w:spacing w:line="276" w:lineRule="auto"/>
              <w:ind w:left="164" w:right="143"/>
              <w:jc w:val="both"/>
            </w:pPr>
          </w:p>
          <w:p w:rsidR="006104FE" w:rsidRDefault="006104FE" w:rsidP="006104FE">
            <w:pPr>
              <w:pStyle w:val="Sinespaciado"/>
              <w:spacing w:line="276" w:lineRule="auto"/>
              <w:ind w:left="164" w:right="143"/>
              <w:jc w:val="both"/>
            </w:pPr>
            <w:r>
              <w:t>Asimismo, la Ley de Ciencia y Tecnología</w:t>
            </w:r>
            <w:r w:rsidR="00B164CB">
              <w:t>, publicado en el Diario Oficial de la Federación (DOF), el 08 de diciembre de 2015, señala lo siguiente:</w:t>
            </w:r>
          </w:p>
          <w:p w:rsidR="006104FE" w:rsidRDefault="006104FE" w:rsidP="006104FE">
            <w:pPr>
              <w:pStyle w:val="Sinespaciado"/>
              <w:spacing w:line="276" w:lineRule="auto"/>
              <w:ind w:left="164" w:right="143"/>
              <w:jc w:val="both"/>
            </w:pPr>
          </w:p>
          <w:p w:rsidR="006104FE" w:rsidRDefault="006104FE" w:rsidP="006104FE">
            <w:pPr>
              <w:pStyle w:val="Sinespaciado"/>
              <w:spacing w:line="276" w:lineRule="auto"/>
              <w:ind w:left="164" w:right="143"/>
              <w:jc w:val="both"/>
            </w:pPr>
            <w:r w:rsidRPr="006104FE">
              <w:t>Articulo 47.- Para efectos de esta Ley serán considerados como centros públicos de investigación las entidades paraestatales de la Administración Pública Federal que de acuerdo con su instrumento de creación tengan como objeto predominante realizar actividades de investigación científica y tecnológica; que efectivamente se dediquen a dichas actividades; que sean reconocidas como tales por resolución conjunta de los titulares del CONACyT y de la dependencia coordinadora de</w:t>
            </w:r>
            <w:r w:rsidR="00BB2E3A">
              <w:t>l</w:t>
            </w:r>
            <w:r w:rsidRPr="006104FE">
              <w:t xml:space="preserve"> sector al que corresponda el centro público de investigación, con la opinión de la Secretaría de Hacienda y Crédito Público para efectos presupuestales, y que celebren el convenio de administración por </w:t>
            </w:r>
            <w:r w:rsidRPr="006104FE">
              <w:lastRenderedPageBreak/>
              <w:t>resultados que establece el presente Capítulo, para evaluar su desempeño y el impacto de sus acciones. Dicha resolución deberá publicarse en el Diario Oficial de la Federación. El CONACyT tomará en cuenta la opinión del Foro Consultivo Científico y Tecnológico.</w:t>
            </w:r>
          </w:p>
          <w:p w:rsidR="006104FE" w:rsidRDefault="006104FE" w:rsidP="006104FE">
            <w:pPr>
              <w:pStyle w:val="Sinespaciado"/>
              <w:spacing w:line="276" w:lineRule="auto"/>
              <w:ind w:left="164" w:right="143"/>
              <w:jc w:val="both"/>
            </w:pPr>
          </w:p>
          <w:p w:rsidR="006104FE" w:rsidRDefault="006104FE" w:rsidP="006104FE">
            <w:pPr>
              <w:pStyle w:val="Sinespaciado"/>
              <w:spacing w:line="276" w:lineRule="auto"/>
              <w:ind w:left="164" w:right="143"/>
              <w:jc w:val="both"/>
            </w:pPr>
            <w:r w:rsidRPr="006104FE">
              <w:t xml:space="preserve">Articulo 48.- Los centros públicos de investigación gozarán de autonomía de decisión técnica, operativa y administrativa en los términos de esta Ley, y de gestión presupuestaria de conformidad con lo dispuesto en la Ley Federal de Presupuesto y Responsabilidad Hacendaria y demás disposiciones legales aplicables; sin perjuicio de las relaciones de coordinación sectorial que a cada centro le corresponda. Asimismo, dichos centros regirán sus relaciones con las dependencias de la Administración Pública Federal y con el CONACyT conforme a los convenios de administración por resultados que en los términos de esta Ley se celebren. Los organismos creados con el objeto de apoyar o realizar actividades de investigación científica y desarrollo tecnológico, que se hayan constituido a través de convenios o tratados internacionales, cuya sede sea México, se regirán conforme a sus respectivos instrumentos de creación. </w:t>
            </w:r>
          </w:p>
          <w:p w:rsidR="006104FE" w:rsidRDefault="006104FE" w:rsidP="006104FE">
            <w:pPr>
              <w:pStyle w:val="Sinespaciado"/>
              <w:spacing w:line="276" w:lineRule="auto"/>
              <w:ind w:left="164" w:right="143"/>
              <w:jc w:val="both"/>
            </w:pPr>
          </w:p>
          <w:p w:rsidR="006104FE" w:rsidRDefault="006104FE" w:rsidP="006104FE">
            <w:pPr>
              <w:pStyle w:val="Sinespaciado"/>
              <w:spacing w:line="276" w:lineRule="auto"/>
              <w:ind w:left="164" w:right="143"/>
              <w:jc w:val="both"/>
            </w:pPr>
            <w:r w:rsidRPr="006104FE">
              <w:t>El CONACyT será la entidad autorizada para dictaminar y resolver sobre aspectos científicos y tecnológicos de los convenios de administración por resultados y sobre la periodicidad de la evaluación de los proyectos.</w:t>
            </w:r>
          </w:p>
          <w:p w:rsidR="00340DE3" w:rsidRDefault="006104FE" w:rsidP="00340DE3">
            <w:pPr>
              <w:pStyle w:val="Sinespaciado"/>
              <w:spacing w:line="276" w:lineRule="auto"/>
              <w:ind w:left="164" w:right="143"/>
              <w:jc w:val="both"/>
            </w:pPr>
            <w:r w:rsidRPr="006104FE">
              <w:t xml:space="preserve">Articulo 56.- Los órganos de gobierno de los centros públicos de investigación sesionarán cuando menos dos veces al año, y tendrán las facultades que les confiere el instrumento legal de su creación y las siguientes atribuciones no delegables: </w:t>
            </w:r>
          </w:p>
          <w:p w:rsidR="00340DE3" w:rsidRDefault="00340DE3" w:rsidP="00340DE3">
            <w:pPr>
              <w:pStyle w:val="Sinespaciado"/>
              <w:spacing w:line="276" w:lineRule="auto"/>
              <w:ind w:left="164" w:right="143"/>
              <w:jc w:val="both"/>
            </w:pPr>
          </w:p>
          <w:p w:rsidR="00340DE3" w:rsidRDefault="006104FE" w:rsidP="00340DE3">
            <w:pPr>
              <w:pStyle w:val="Sinespaciado"/>
              <w:spacing w:line="276" w:lineRule="auto"/>
              <w:ind w:left="164" w:right="143"/>
              <w:jc w:val="both"/>
            </w:pPr>
            <w:r w:rsidRPr="006104FE">
              <w:t>VIII. Aprobar los términos de los convenios de administración por resultados cuya celebración se proponga en los términos de esta Ley, asi como decidir su terminación anticipada;</w:t>
            </w:r>
          </w:p>
          <w:p w:rsidR="00340DE3" w:rsidRDefault="00340DE3" w:rsidP="00340DE3">
            <w:pPr>
              <w:pStyle w:val="Sinespaciado"/>
              <w:spacing w:line="276" w:lineRule="auto"/>
              <w:ind w:left="164" w:right="143"/>
              <w:jc w:val="both"/>
            </w:pPr>
          </w:p>
          <w:p w:rsidR="00340DE3" w:rsidRDefault="006104FE" w:rsidP="00340DE3">
            <w:pPr>
              <w:pStyle w:val="Sinespaciado"/>
              <w:spacing w:line="276" w:lineRule="auto"/>
              <w:ind w:left="164" w:right="143"/>
              <w:jc w:val="both"/>
            </w:pPr>
            <w:r w:rsidRPr="006104FE">
              <w:t xml:space="preserve">Articulo 59.- Los centros públicos de investigación celebrarán con la dependencia coordinadora de sector, con el CONACyT y con las Secretarías de Hacienda y Crédito Público y de la Función Pública, convenios de administración por resultados cuyos propósitos fundamentales serán mejorar las actividades de cada centro, alcanzar las metas y lograr los resultados programados y convenidos, tener una actuación y un ejercicio de gasto y rendición de cuentas más eficiente y transparente, y vincular la administración por resultados e impactos con el monto del presupuesto que se le asigne. Dichos convenios serán de naturaleza jurídica distinta a los que establezca la ley de la materia y el Decreto aprobatorio del Presupuesto de Egresos de la Federación, no </w:t>
            </w:r>
            <w:r w:rsidR="004E6DB6" w:rsidRPr="006104FE">
              <w:t>obstante,</w:t>
            </w:r>
            <w:r w:rsidRPr="006104FE">
              <w:t xml:space="preserve"> lo cual los centros públicos que celebren sus respectivos convenios contarán con las facilidades administrativas que establezcan los Decretos anuales referidos.</w:t>
            </w:r>
          </w:p>
          <w:p w:rsidR="00340DE3" w:rsidRDefault="00340DE3" w:rsidP="00340DE3">
            <w:pPr>
              <w:pStyle w:val="Sinespaciado"/>
              <w:spacing w:line="276" w:lineRule="auto"/>
              <w:ind w:left="164" w:right="143"/>
              <w:jc w:val="both"/>
            </w:pPr>
          </w:p>
          <w:p w:rsidR="00340DE3" w:rsidRDefault="006104FE" w:rsidP="00340DE3">
            <w:pPr>
              <w:pStyle w:val="Sinespaciado"/>
              <w:spacing w:line="276" w:lineRule="auto"/>
              <w:ind w:left="164" w:right="143"/>
              <w:jc w:val="both"/>
            </w:pPr>
            <w:r w:rsidRPr="006104FE">
              <w:t xml:space="preserve">La vigencia de los convenios será de cinco años en la medida en que los resultados de la evaluación anual determinen que los Centros han dado cumplimiento a los compromisos pactados en estos instrumentos. </w:t>
            </w:r>
            <w:r w:rsidR="004E6DB6" w:rsidRPr="006104FE">
              <w:t>Concluidos dichos plazos continuarán</w:t>
            </w:r>
            <w:r w:rsidRPr="006104FE">
              <w:t xml:space="preserve"> con vigencia indefinida hasta en tanto no se den por terminados expresamente por la voluntad de las partes. Los convenios de administración por resultados se revisarán anualmente en las cuestiones que propongan el CONACyT o el Centro y en aspectos de metas y de montos de recursos presupuestales, tomando en cuenta el resultado de las evaluaciones que de acuerdo a este Capítulo se realicen.</w:t>
            </w:r>
          </w:p>
          <w:p w:rsidR="00340DE3" w:rsidRDefault="00340DE3" w:rsidP="00340DE3">
            <w:pPr>
              <w:pStyle w:val="Sinespaciado"/>
              <w:spacing w:line="276" w:lineRule="auto"/>
              <w:ind w:left="164" w:right="143"/>
              <w:jc w:val="both"/>
            </w:pPr>
          </w:p>
          <w:p w:rsidR="00340DE3" w:rsidRDefault="006104FE" w:rsidP="00340DE3">
            <w:pPr>
              <w:pStyle w:val="Sinespaciado"/>
              <w:spacing w:line="276" w:lineRule="auto"/>
              <w:ind w:left="164" w:right="143"/>
              <w:jc w:val="both"/>
            </w:pPr>
            <w:r w:rsidRPr="006104FE">
              <w:t>Para la determinación y, en su caso, ampliación del presupuesto de los centros públicos de investigación, se tomará en consideración el Programa de Mediano Plazo y la evaluación de sus resultados académicos, docentes, de investigación y de desarrollo tecnológico que realicen y su gestión académica, administrativa y financiera conforme se establece en el artículo 60 de esta Ley.</w:t>
            </w:r>
          </w:p>
          <w:p w:rsidR="00340DE3" w:rsidRDefault="00340DE3" w:rsidP="00340DE3">
            <w:pPr>
              <w:pStyle w:val="Sinespaciado"/>
              <w:spacing w:line="276" w:lineRule="auto"/>
              <w:ind w:left="164" w:right="143"/>
              <w:jc w:val="both"/>
            </w:pPr>
          </w:p>
          <w:p w:rsidR="006104FE" w:rsidRPr="006104FE" w:rsidRDefault="006104FE" w:rsidP="00340DE3">
            <w:pPr>
              <w:pStyle w:val="Sinespaciado"/>
              <w:spacing w:line="276" w:lineRule="auto"/>
              <w:ind w:left="164" w:right="143"/>
              <w:jc w:val="both"/>
            </w:pPr>
            <w:r w:rsidRPr="006104FE">
              <w:t>Dichos convenios contendrán, entre otras bases, las siguientes:</w:t>
            </w:r>
          </w:p>
          <w:p w:rsidR="006104FE" w:rsidRPr="006104FE" w:rsidRDefault="006104FE" w:rsidP="006104FE">
            <w:pPr>
              <w:pStyle w:val="Sinespaciado"/>
              <w:ind w:left="567" w:hanging="141"/>
              <w:jc w:val="both"/>
            </w:pPr>
          </w:p>
          <w:p w:rsidR="006104FE" w:rsidRPr="006104FE" w:rsidRDefault="006104FE" w:rsidP="00340DE3">
            <w:pPr>
              <w:pStyle w:val="Sinespaciado"/>
              <w:numPr>
                <w:ilvl w:val="0"/>
                <w:numId w:val="24"/>
              </w:numPr>
              <w:ind w:left="567" w:right="133" w:hanging="141"/>
              <w:jc w:val="both"/>
            </w:pPr>
            <w:r w:rsidRPr="006104FE">
              <w:t>El programa de mediano plazo, que incluya proyecciones multianuales financieras y de inversión;</w:t>
            </w:r>
          </w:p>
          <w:p w:rsidR="006104FE" w:rsidRPr="006104FE" w:rsidRDefault="006104FE" w:rsidP="00340DE3">
            <w:pPr>
              <w:pStyle w:val="Sinespaciado"/>
              <w:ind w:left="567" w:right="133" w:hanging="141"/>
              <w:jc w:val="both"/>
            </w:pPr>
          </w:p>
          <w:p w:rsidR="006104FE" w:rsidRPr="006104FE" w:rsidRDefault="006104FE" w:rsidP="00340DE3">
            <w:pPr>
              <w:pStyle w:val="Sinespaciado"/>
              <w:numPr>
                <w:ilvl w:val="0"/>
                <w:numId w:val="24"/>
              </w:numPr>
              <w:ind w:left="567" w:right="133" w:hanging="141"/>
              <w:jc w:val="both"/>
            </w:pPr>
            <w:r w:rsidRPr="006104FE">
              <w:t>El programa anual de trabajo que señale objetivos, estrategias, líneas de acción y metas comprometidas con base en indicadores de desempeño;</w:t>
            </w:r>
          </w:p>
          <w:p w:rsidR="006104FE" w:rsidRPr="006104FE" w:rsidRDefault="006104FE" w:rsidP="00340DE3">
            <w:pPr>
              <w:pStyle w:val="Sinespaciado"/>
              <w:ind w:left="567" w:right="133" w:hanging="141"/>
              <w:jc w:val="both"/>
            </w:pPr>
          </w:p>
          <w:p w:rsidR="006104FE" w:rsidRPr="006104FE" w:rsidRDefault="006104FE" w:rsidP="00340DE3">
            <w:pPr>
              <w:pStyle w:val="Sinespaciado"/>
              <w:numPr>
                <w:ilvl w:val="0"/>
                <w:numId w:val="24"/>
              </w:numPr>
              <w:ind w:left="567" w:right="133" w:hanging="141"/>
              <w:jc w:val="both"/>
            </w:pPr>
            <w:r w:rsidRPr="006104FE">
              <w:t>Los criterios e indicadores de desempeño y evaluación de resultados de actividades y proyectos que apruebe su órgano de gobierno, y</w:t>
            </w:r>
          </w:p>
          <w:p w:rsidR="006104FE" w:rsidRPr="006104FE" w:rsidRDefault="006104FE" w:rsidP="00340DE3">
            <w:pPr>
              <w:pStyle w:val="Sinespaciado"/>
              <w:ind w:left="567" w:right="133" w:hanging="141"/>
              <w:jc w:val="both"/>
            </w:pPr>
          </w:p>
          <w:p w:rsidR="00340DE3" w:rsidRDefault="006104FE" w:rsidP="00340DE3">
            <w:pPr>
              <w:pStyle w:val="Sinespaciado"/>
              <w:numPr>
                <w:ilvl w:val="0"/>
                <w:numId w:val="24"/>
              </w:numPr>
              <w:ind w:left="567" w:right="133" w:hanging="141"/>
              <w:jc w:val="both"/>
            </w:pPr>
            <w:r w:rsidRPr="006104FE">
              <w:t>Las demás que se establezcan conforme a las disposiciones legales y reglamentarias aplicables.</w:t>
            </w:r>
          </w:p>
          <w:p w:rsidR="00340DE3" w:rsidRDefault="00340DE3" w:rsidP="00340DE3">
            <w:pPr>
              <w:pStyle w:val="Prrafodelista"/>
            </w:pPr>
          </w:p>
          <w:p w:rsidR="006104FE" w:rsidRPr="006104FE" w:rsidRDefault="006104FE" w:rsidP="00340DE3">
            <w:pPr>
              <w:pStyle w:val="Sinespaciado"/>
              <w:ind w:left="168" w:right="133"/>
              <w:jc w:val="both"/>
            </w:pPr>
            <w:r w:rsidRPr="006104FE">
              <w:t>La Secretaría de Hacienda y Crédito Público garantizará el flujo oportuno de recursos fiscales y por conducto de la Coordinadora de Sector evaluará la gestión financiera. La Secretaría de la Función Pública intervendrá para apoyar las acciones preventivas, la gestión administrativa y asegurar la rendición de cuentas en la utilización de los recursos financieros. La dependencia Coordinadora de Sector o el CONACyT en el ejercicio de sus facultades de coordinadora de sector asegurará la congruencia de los programas sectoriales con los institucionales y apoyará la gestión de los centros.</w:t>
            </w:r>
          </w:p>
          <w:p w:rsidR="006104FE" w:rsidRPr="006104FE" w:rsidRDefault="006104FE" w:rsidP="00340DE3">
            <w:pPr>
              <w:pStyle w:val="Sinespaciado"/>
              <w:ind w:left="168" w:right="133"/>
              <w:jc w:val="both"/>
            </w:pPr>
          </w:p>
          <w:p w:rsidR="006104FE" w:rsidRPr="006104FE" w:rsidRDefault="006104FE" w:rsidP="00340DE3">
            <w:pPr>
              <w:pStyle w:val="Sinespaciado"/>
              <w:ind w:left="168" w:right="133"/>
              <w:jc w:val="both"/>
            </w:pPr>
            <w:r w:rsidRPr="006104FE">
              <w:lastRenderedPageBreak/>
              <w:t>Los resultados de las evaluaciones y auditorías que se realicen respecto al cumplimiento de metas, utilización de recursos y medidas correctivas adoptadas que se efectúen conforme al presente Capítulo, deberán informarse al órgano de gobierno de cada centro e incorporarse al sistema integrado de información a que se refieren los artículos 15 y 16 de esta Ley, de tal manera que sean accesibles al público.</w:t>
            </w:r>
          </w:p>
          <w:p w:rsidR="006104FE" w:rsidRPr="006104FE" w:rsidRDefault="006104FE" w:rsidP="00340DE3">
            <w:pPr>
              <w:pStyle w:val="Sinespaciado"/>
              <w:ind w:left="168" w:right="133"/>
              <w:jc w:val="both"/>
            </w:pPr>
          </w:p>
          <w:p w:rsidR="006104FE" w:rsidRPr="006104FE" w:rsidRDefault="006104FE" w:rsidP="00340DE3">
            <w:pPr>
              <w:pStyle w:val="Sinespaciado"/>
              <w:ind w:left="168" w:right="133"/>
              <w:jc w:val="both"/>
            </w:pPr>
            <w:r w:rsidRPr="006104FE">
              <w:t>Articulo 60.- Para la evaluación de los convenios de administración por resultados, la dependencia coordinadora de sector y el CONACyT propondrán al órgano de gobierno del centro los mecanismos de evaluación externa de carácter sustantivo en los términos de esta Ley. Al efecto se realizarán las siguientes evaluaciones:</w:t>
            </w:r>
          </w:p>
          <w:p w:rsidR="006104FE" w:rsidRPr="006104FE" w:rsidRDefault="006104FE" w:rsidP="006104FE">
            <w:pPr>
              <w:pStyle w:val="Sinespaciado"/>
              <w:jc w:val="both"/>
            </w:pPr>
          </w:p>
          <w:p w:rsidR="006104FE" w:rsidRPr="006104FE" w:rsidRDefault="006104FE" w:rsidP="00340DE3">
            <w:pPr>
              <w:pStyle w:val="Sinespaciado"/>
              <w:numPr>
                <w:ilvl w:val="0"/>
                <w:numId w:val="25"/>
              </w:numPr>
              <w:ind w:left="567" w:right="133" w:hanging="141"/>
              <w:jc w:val="both"/>
            </w:pPr>
            <w:r w:rsidRPr="006104FE">
              <w:t>La evaluación de resultados y de impactos de las actividades y resultados científicos, de investigación y docentes a cargo de un grupo de expertos o por una empresa especializada de reconocida experiencia y prestigio, y</w:t>
            </w:r>
          </w:p>
          <w:p w:rsidR="006104FE" w:rsidRPr="006104FE" w:rsidRDefault="006104FE" w:rsidP="00340DE3">
            <w:pPr>
              <w:widowControl w:val="0"/>
              <w:tabs>
                <w:tab w:val="left" w:pos="669"/>
              </w:tabs>
              <w:autoSpaceDE w:val="0"/>
              <w:autoSpaceDN w:val="0"/>
              <w:ind w:left="567" w:right="133" w:hanging="141"/>
              <w:jc w:val="both"/>
            </w:pPr>
          </w:p>
          <w:p w:rsidR="006104FE" w:rsidRPr="006104FE" w:rsidRDefault="006104FE" w:rsidP="00340DE3">
            <w:pPr>
              <w:pStyle w:val="Prrafodelista"/>
              <w:widowControl w:val="0"/>
              <w:numPr>
                <w:ilvl w:val="0"/>
                <w:numId w:val="25"/>
              </w:numPr>
              <w:tabs>
                <w:tab w:val="left" w:pos="669"/>
              </w:tabs>
              <w:autoSpaceDE w:val="0"/>
              <w:autoSpaceDN w:val="0"/>
              <w:ind w:left="567" w:right="133" w:hanging="141"/>
              <w:jc w:val="both"/>
            </w:pPr>
            <w:r w:rsidRPr="006104FE">
              <w:t>La evaluación de sus actividades y resultados administrativos y financieros de acuerdo con los esquemas de auditoria gubernamental.</w:t>
            </w:r>
          </w:p>
          <w:p w:rsidR="006104FE" w:rsidRDefault="006104FE" w:rsidP="00340DE3">
            <w:pPr>
              <w:pStyle w:val="Sinespaciado"/>
              <w:ind w:right="133"/>
              <w:jc w:val="both"/>
            </w:pPr>
          </w:p>
          <w:p w:rsidR="006104FE" w:rsidRPr="006104FE" w:rsidRDefault="006104FE" w:rsidP="00340DE3">
            <w:pPr>
              <w:pStyle w:val="Textoindependiente"/>
              <w:ind w:left="168" w:right="133" w:firstLine="0"/>
              <w:rPr>
                <w:rFonts w:asciiTheme="minorHAnsi" w:eastAsiaTheme="minorHAnsi" w:hAnsiTheme="minorHAnsi" w:cstheme="minorBidi"/>
                <w:kern w:val="0"/>
                <w:sz w:val="22"/>
                <w:szCs w:val="22"/>
                <w:lang w:val="es-MX"/>
              </w:rPr>
            </w:pPr>
            <w:r w:rsidRPr="006104FE">
              <w:rPr>
                <w:rFonts w:asciiTheme="minorHAnsi" w:eastAsiaTheme="minorHAnsi" w:hAnsiTheme="minorHAnsi" w:cstheme="minorBidi"/>
                <w:kern w:val="0"/>
                <w:sz w:val="22"/>
                <w:szCs w:val="22"/>
                <w:lang w:val="es-MX"/>
              </w:rPr>
              <w:t>Articulo 61.- Los centros públicos de investigación dejarán de ser considerados como tales en los siguientes supuestos:</w:t>
            </w:r>
          </w:p>
          <w:p w:rsidR="006104FE" w:rsidRPr="006104FE" w:rsidRDefault="006104FE" w:rsidP="00340DE3">
            <w:pPr>
              <w:pStyle w:val="Prrafodelista"/>
              <w:widowControl w:val="0"/>
              <w:numPr>
                <w:ilvl w:val="0"/>
                <w:numId w:val="26"/>
              </w:numPr>
              <w:autoSpaceDE w:val="0"/>
              <w:autoSpaceDN w:val="0"/>
              <w:spacing w:before="1"/>
              <w:ind w:left="567" w:right="133" w:hanging="141"/>
              <w:jc w:val="both"/>
            </w:pPr>
            <w:r w:rsidRPr="006104FE">
              <w:t>Por mutuo acuerdo de las partes que hayan suscrito el convenio de administración por resultados en el sentido de no renovar su vigencia;</w:t>
            </w:r>
          </w:p>
          <w:p w:rsidR="006104FE" w:rsidRPr="006104FE" w:rsidRDefault="006104FE" w:rsidP="00340DE3">
            <w:pPr>
              <w:widowControl w:val="0"/>
              <w:tabs>
                <w:tab w:val="left" w:pos="688"/>
              </w:tabs>
              <w:autoSpaceDE w:val="0"/>
              <w:autoSpaceDN w:val="0"/>
              <w:ind w:left="567" w:right="133" w:hanging="141"/>
              <w:jc w:val="both"/>
            </w:pPr>
          </w:p>
          <w:p w:rsidR="006104FE" w:rsidRPr="006104FE" w:rsidRDefault="006104FE" w:rsidP="00340DE3">
            <w:pPr>
              <w:pStyle w:val="Prrafodelista"/>
              <w:widowControl w:val="0"/>
              <w:numPr>
                <w:ilvl w:val="0"/>
                <w:numId w:val="26"/>
              </w:numPr>
              <w:tabs>
                <w:tab w:val="left" w:pos="688"/>
              </w:tabs>
              <w:autoSpaceDE w:val="0"/>
              <w:autoSpaceDN w:val="0"/>
              <w:ind w:left="567" w:right="133" w:hanging="141"/>
              <w:jc w:val="both"/>
            </w:pPr>
            <w:r w:rsidRPr="006104FE">
              <w:t>Por la determinación de la dependencia coordinadora de sector y del CONACyT de dar por terminado anticipadamente el plazo de vigencia del convenio como consecuencia de las evaluaciones que se realicen conforme al artículo anterior, lo cual notificarán al centro público de investigación de que se trate;</w:t>
            </w:r>
          </w:p>
          <w:p w:rsidR="006104FE" w:rsidRPr="006104FE" w:rsidRDefault="006104FE" w:rsidP="00340DE3">
            <w:pPr>
              <w:widowControl w:val="0"/>
              <w:tabs>
                <w:tab w:val="left" w:pos="753"/>
              </w:tabs>
              <w:autoSpaceDE w:val="0"/>
              <w:autoSpaceDN w:val="0"/>
              <w:ind w:left="567" w:right="133" w:hanging="141"/>
              <w:jc w:val="both"/>
            </w:pPr>
          </w:p>
          <w:p w:rsidR="006104FE" w:rsidRPr="006104FE" w:rsidRDefault="006104FE" w:rsidP="00340DE3">
            <w:pPr>
              <w:pStyle w:val="Prrafodelista"/>
              <w:widowControl w:val="0"/>
              <w:numPr>
                <w:ilvl w:val="0"/>
                <w:numId w:val="26"/>
              </w:numPr>
              <w:tabs>
                <w:tab w:val="left" w:pos="753"/>
              </w:tabs>
              <w:autoSpaceDE w:val="0"/>
              <w:autoSpaceDN w:val="0"/>
              <w:ind w:left="567" w:right="133" w:hanging="141"/>
              <w:jc w:val="both"/>
            </w:pPr>
            <w:r w:rsidRPr="006104FE">
              <w:t xml:space="preserve">Por la solicitud que realicen a la dependencia coordinadora de sector y al CONACyT, las Secretarías de Hacienda y Crédito Público y de la Función Pública, conforme a los resultados de las revisiones y auditorías que se practiquen conforme a las disposiciones legales aplicables, o en las evaluaciones que se </w:t>
            </w:r>
            <w:r w:rsidR="004E6DB6" w:rsidRPr="006104FE">
              <w:t>le</w:t>
            </w:r>
            <w:r w:rsidRPr="006104FE">
              <w:t xml:space="preserve"> entreguen conforme al artículo anterior, y</w:t>
            </w:r>
          </w:p>
          <w:p w:rsidR="006104FE" w:rsidRPr="006104FE" w:rsidRDefault="006104FE" w:rsidP="00340DE3">
            <w:pPr>
              <w:widowControl w:val="0"/>
              <w:tabs>
                <w:tab w:val="left" w:pos="753"/>
              </w:tabs>
              <w:autoSpaceDE w:val="0"/>
              <w:autoSpaceDN w:val="0"/>
              <w:ind w:left="567" w:right="133" w:hanging="141"/>
              <w:jc w:val="both"/>
            </w:pPr>
          </w:p>
          <w:p w:rsidR="006104FE" w:rsidRPr="006104FE" w:rsidRDefault="006104FE" w:rsidP="00340DE3">
            <w:pPr>
              <w:pStyle w:val="Prrafodelista"/>
              <w:widowControl w:val="0"/>
              <w:numPr>
                <w:ilvl w:val="0"/>
                <w:numId w:val="26"/>
              </w:numPr>
              <w:tabs>
                <w:tab w:val="left" w:pos="753"/>
              </w:tabs>
              <w:autoSpaceDE w:val="0"/>
              <w:autoSpaceDN w:val="0"/>
              <w:ind w:left="567" w:right="133" w:hanging="141"/>
              <w:jc w:val="both"/>
            </w:pPr>
            <w:r w:rsidRPr="006104FE">
              <w:t>Por decisión del órgano de gobierno del centro de que se trate.</w:t>
            </w:r>
          </w:p>
          <w:p w:rsidR="00E034B5" w:rsidRDefault="00E034B5" w:rsidP="0082585A">
            <w:pPr>
              <w:pStyle w:val="Sinespaciado"/>
              <w:spacing w:line="276" w:lineRule="auto"/>
              <w:ind w:left="164" w:right="143"/>
              <w:jc w:val="both"/>
            </w:pPr>
          </w:p>
          <w:p w:rsidR="00AE1862" w:rsidRDefault="00AE1862" w:rsidP="0082585A">
            <w:pPr>
              <w:pStyle w:val="Sinespaciado"/>
              <w:spacing w:line="276" w:lineRule="auto"/>
              <w:ind w:left="164" w:right="143"/>
              <w:jc w:val="both"/>
            </w:pPr>
            <w:r>
              <w:lastRenderedPageBreak/>
              <w:t>En razón de lo anterior y en cumplimiento al Plan Anual de Auditorias para el ejercicio 2019 de este Órgano Interno de Control (OIC), mediante or</w:t>
            </w:r>
            <w:r w:rsidR="00D462BA">
              <w:t>den de auditoría No. 11/290/0</w:t>
            </w:r>
            <w:r w:rsidR="006104FE">
              <w:t>163</w:t>
            </w:r>
            <w:r>
              <w:t xml:space="preserve">/2019 del </w:t>
            </w:r>
            <w:r w:rsidR="006104FE">
              <w:t xml:space="preserve">02 de septiembre </w:t>
            </w:r>
            <w:r>
              <w:t xml:space="preserve">de 2019, se comunicó al </w:t>
            </w:r>
            <w:r w:rsidR="00D462BA">
              <w:t xml:space="preserve">DR. </w:t>
            </w:r>
            <w:r w:rsidR="006104FE">
              <w:t>LEOPOLDO ALTAMIRANO ROBLES</w:t>
            </w:r>
            <w:r>
              <w:t xml:space="preserve">, </w:t>
            </w:r>
            <w:r w:rsidR="006104FE">
              <w:t xml:space="preserve">entonces </w:t>
            </w:r>
            <w:r>
              <w:t xml:space="preserve">Director </w:t>
            </w:r>
            <w:r w:rsidR="006104FE">
              <w:t xml:space="preserve">General del </w:t>
            </w:r>
            <w:r>
              <w:t xml:space="preserve">Instituto Nacional de </w:t>
            </w:r>
            <w:r w:rsidR="00D462BA">
              <w:t>Astrofísica</w:t>
            </w:r>
            <w:r>
              <w:t xml:space="preserve">, </w:t>
            </w:r>
            <w:r w:rsidR="00D462BA">
              <w:t>Óptica</w:t>
            </w:r>
            <w:r>
              <w:t xml:space="preserve"> y </w:t>
            </w:r>
            <w:r w:rsidR="00D462BA">
              <w:t>Electrónica</w:t>
            </w:r>
            <w:r>
              <w:t xml:space="preserve"> </w:t>
            </w:r>
            <w:r w:rsidR="00D462BA">
              <w:t>-</w:t>
            </w:r>
            <w:r>
              <w:t>INAOE-, que se llevaría a cabo la auditoría No. 0</w:t>
            </w:r>
            <w:r w:rsidR="006104FE">
              <w:t>5</w:t>
            </w:r>
            <w:r>
              <w:t>/2019, clave 800 “AL DESEMPEÑO”, cuyo objeto e</w:t>
            </w:r>
            <w:r w:rsidR="00B83F8D">
              <w:t>ra</w:t>
            </w:r>
            <w:r>
              <w:t xml:space="preserve"> </w:t>
            </w:r>
            <w:r w:rsidRPr="00D462BA">
              <w:rPr>
                <w:i/>
              </w:rPr>
              <w:t>“</w:t>
            </w:r>
            <w:r w:rsidR="00A210DB">
              <w:rPr>
                <w:i/>
              </w:rPr>
              <w:t xml:space="preserve">evaluar y comprobar que los programas, así como las metas institucionales se cumplan de manera eficiente conforme a lo planeado; verificando que los recursos sean aplicados </w:t>
            </w:r>
            <w:r w:rsidR="004F25B8">
              <w:rPr>
                <w:i/>
              </w:rPr>
              <w:t>de manera adecuada conforme a la normatividad aplicable</w:t>
            </w:r>
            <w:r w:rsidR="00D462BA" w:rsidRPr="00D462BA">
              <w:rPr>
                <w:i/>
              </w:rPr>
              <w:t>”</w:t>
            </w:r>
            <w:r w:rsidR="00D462BA">
              <w:t>. La orden de auditoría fue notificada formalmente ese mismo día como consta en el acta de inicio de auditoría No. 0</w:t>
            </w:r>
            <w:r w:rsidR="006104FE">
              <w:t>5/</w:t>
            </w:r>
            <w:r w:rsidR="00D462BA">
              <w:t>2019, acto por el cual se dio formalmente</w:t>
            </w:r>
            <w:r w:rsidR="007718B1">
              <w:t xml:space="preserve"> por</w:t>
            </w:r>
            <w:r w:rsidR="00D462BA">
              <w:t xml:space="preserve"> iniciada.</w:t>
            </w:r>
          </w:p>
          <w:p w:rsidR="00980C9B" w:rsidRDefault="00980C9B" w:rsidP="0082585A">
            <w:pPr>
              <w:pStyle w:val="Sinespaciado"/>
              <w:ind w:right="143"/>
              <w:jc w:val="both"/>
            </w:pPr>
          </w:p>
          <w:p w:rsidR="00980C9B" w:rsidRPr="00435DB6" w:rsidRDefault="000B3D19" w:rsidP="0082585A">
            <w:pPr>
              <w:pStyle w:val="Sinespaciado"/>
              <w:numPr>
                <w:ilvl w:val="0"/>
                <w:numId w:val="15"/>
              </w:numPr>
              <w:ind w:right="143"/>
              <w:rPr>
                <w:b/>
              </w:rPr>
            </w:pPr>
            <w:r w:rsidRPr="00435DB6">
              <w:rPr>
                <w:b/>
              </w:rPr>
              <w:t>O</w:t>
            </w:r>
            <w:r w:rsidR="00D462BA" w:rsidRPr="00435DB6">
              <w:rPr>
                <w:b/>
              </w:rPr>
              <w:t xml:space="preserve">BJETO Y PERIODO REVISADO </w:t>
            </w:r>
          </w:p>
          <w:p w:rsidR="00435DB6" w:rsidRDefault="00435DB6" w:rsidP="0082585A">
            <w:pPr>
              <w:pStyle w:val="Sinespaciado"/>
              <w:ind w:left="1156" w:right="143"/>
              <w:rPr>
                <w:b/>
              </w:rPr>
            </w:pPr>
          </w:p>
          <w:p w:rsidR="00980C9B" w:rsidRPr="00435DB6" w:rsidRDefault="00D462BA" w:rsidP="0082585A">
            <w:pPr>
              <w:pStyle w:val="Sinespaciado"/>
              <w:ind w:left="731" w:right="143"/>
              <w:rPr>
                <w:b/>
              </w:rPr>
            </w:pPr>
            <w:r w:rsidRPr="00435DB6">
              <w:rPr>
                <w:b/>
              </w:rPr>
              <w:t>II.1 OBJETO</w:t>
            </w:r>
          </w:p>
          <w:p w:rsidR="00D462BA" w:rsidRDefault="00D462BA" w:rsidP="0082585A">
            <w:pPr>
              <w:pStyle w:val="Sinespaciado"/>
              <w:ind w:left="164" w:right="143"/>
              <w:jc w:val="both"/>
            </w:pPr>
            <w:r w:rsidRPr="00AC12CA">
              <w:t>La auditoría estuvo dirigida a revisar que el I</w:t>
            </w:r>
            <w:r w:rsidR="00340DE3">
              <w:t>nstituto Nacional de Astrofísica, Óptica y Electrónica (I</w:t>
            </w:r>
            <w:r w:rsidRPr="00AC12CA">
              <w:t>NAOE</w:t>
            </w:r>
            <w:r w:rsidR="00340DE3">
              <w:t>)</w:t>
            </w:r>
            <w:r w:rsidRPr="00AC12CA">
              <w:t xml:space="preserve"> lleve a cabo la planeación y dirección en el desarrollo</w:t>
            </w:r>
            <w:r w:rsidR="00AC12CA">
              <w:t xml:space="preserve"> de proyectos científicos y tecnológicos en apego a la normatividad aplicable, además del cumplimiento de metas y objetivos del INAOE. </w:t>
            </w:r>
            <w:r w:rsidRPr="00AC12CA">
              <w:t xml:space="preserve"> </w:t>
            </w:r>
          </w:p>
          <w:p w:rsidR="00AC12CA" w:rsidRPr="00AC12CA" w:rsidRDefault="00AC12CA" w:rsidP="0082585A">
            <w:pPr>
              <w:pStyle w:val="Sinespaciado"/>
              <w:ind w:right="143"/>
            </w:pPr>
          </w:p>
          <w:p w:rsidR="00D462BA" w:rsidRPr="00435DB6" w:rsidRDefault="00D462BA" w:rsidP="0082585A">
            <w:pPr>
              <w:pStyle w:val="Sinespaciado"/>
              <w:ind w:left="731" w:right="143"/>
              <w:rPr>
                <w:b/>
              </w:rPr>
            </w:pPr>
            <w:r w:rsidRPr="00435DB6">
              <w:rPr>
                <w:b/>
              </w:rPr>
              <w:t>II.2 PERIODO REVISADO</w:t>
            </w:r>
          </w:p>
          <w:p w:rsidR="007718B1" w:rsidRDefault="00AC12CA" w:rsidP="007718B1">
            <w:pPr>
              <w:pStyle w:val="Sinespaciado"/>
              <w:ind w:left="164" w:right="143"/>
              <w:jc w:val="both"/>
            </w:pPr>
            <w:r w:rsidRPr="00AC12CA">
              <w:t xml:space="preserve">El periodo a revisar comprendió el ejercicio 2018; </w:t>
            </w:r>
            <w:r w:rsidR="007718B1">
              <w:t xml:space="preserve">para ello </w:t>
            </w:r>
            <w:r w:rsidR="00866E44">
              <w:t>en el orden de auditorí</w:t>
            </w:r>
            <w:r w:rsidRPr="00AC12CA">
              <w:t xml:space="preserve">a se comunicó </w:t>
            </w:r>
            <w:r>
              <w:t xml:space="preserve">a la Dirección </w:t>
            </w:r>
            <w:r w:rsidR="00FA7051">
              <w:t>General</w:t>
            </w:r>
            <w:r w:rsidR="00866E44">
              <w:t xml:space="preserve"> </w:t>
            </w:r>
            <w:r w:rsidR="00455176">
              <w:t>en</w:t>
            </w:r>
            <w:r w:rsidR="007718B1">
              <w:t xml:space="preserve"> una observación preliminar </w:t>
            </w:r>
            <w:r w:rsidR="00455176">
              <w:t xml:space="preserve">que </w:t>
            </w:r>
            <w:r w:rsidR="007718B1">
              <w:t>de todas formas se solicitaría la información co</w:t>
            </w:r>
            <w:r w:rsidR="00455176">
              <w:t>rrespondiente al ejercicio 2019, aunque hubiera superado recomendaciones.</w:t>
            </w:r>
          </w:p>
          <w:p w:rsidR="00AC12CA" w:rsidRDefault="00AC12CA" w:rsidP="00AC12CA">
            <w:pPr>
              <w:pStyle w:val="Sinespaciado"/>
            </w:pPr>
          </w:p>
          <w:p w:rsidR="000B3D19" w:rsidRPr="0073387C" w:rsidRDefault="000B3D19" w:rsidP="0073387C">
            <w:pPr>
              <w:pStyle w:val="Sinespaciado"/>
              <w:numPr>
                <w:ilvl w:val="0"/>
                <w:numId w:val="15"/>
              </w:numPr>
              <w:ind w:right="143"/>
              <w:rPr>
                <w:b/>
              </w:rPr>
            </w:pPr>
            <w:r w:rsidRPr="00435DB6">
              <w:rPr>
                <w:b/>
              </w:rPr>
              <w:t>RESULTADO DE LOS TRABAJOS DESARROLLA</w:t>
            </w:r>
            <w:r w:rsidRPr="0073387C">
              <w:rPr>
                <w:b/>
              </w:rPr>
              <w:t>DOS</w:t>
            </w:r>
          </w:p>
          <w:p w:rsidR="00435DB6" w:rsidRDefault="00435DB6" w:rsidP="0082585A">
            <w:pPr>
              <w:pStyle w:val="Sinespaciado"/>
              <w:ind w:left="1080" w:right="143"/>
              <w:rPr>
                <w:b/>
              </w:rPr>
            </w:pPr>
          </w:p>
          <w:p w:rsidR="001057FD" w:rsidRDefault="001057FD" w:rsidP="001057FD">
            <w:pPr>
              <w:pStyle w:val="Sinespaciado"/>
              <w:ind w:left="164" w:right="143"/>
              <w:jc w:val="both"/>
            </w:pPr>
            <w:r>
              <w:t xml:space="preserve">En apego a las Normas Generales de Auditoría Pública, los procedimientos de auditoría necesarios y de conformidad al Programa Anual de Auditoría para 2019 se realizaron las siguientes acciones: </w:t>
            </w:r>
          </w:p>
          <w:p w:rsidR="001057FD" w:rsidRDefault="001057FD" w:rsidP="001057FD">
            <w:pPr>
              <w:pStyle w:val="Sinespaciado"/>
              <w:ind w:left="164" w:right="143"/>
              <w:jc w:val="both"/>
            </w:pPr>
          </w:p>
          <w:p w:rsidR="00FB62E6" w:rsidRDefault="0029463C" w:rsidP="001057FD">
            <w:pPr>
              <w:pStyle w:val="Sinespaciado"/>
              <w:ind w:left="164" w:right="143"/>
              <w:jc w:val="both"/>
            </w:pPr>
            <w:r w:rsidRPr="0029463C">
              <w:t>El pasado</w:t>
            </w:r>
            <w:r w:rsidR="001E1877">
              <w:t xml:space="preserve"> 02 de septiembre </w:t>
            </w:r>
            <w:r w:rsidR="00FB62E6">
              <w:t xml:space="preserve">del año en curso, se solicitó al entonces Director General del INAOE, el primer requerimiento </w:t>
            </w:r>
            <w:r w:rsidR="00277CCC">
              <w:t xml:space="preserve">mediante oficio No. 11/290/0173/2019 de fecha 02 de septiembre de 2019, </w:t>
            </w:r>
            <w:r w:rsidR="00FB62E6">
              <w:t xml:space="preserve">en relación a la </w:t>
            </w:r>
            <w:r w:rsidR="00277CCC">
              <w:t xml:space="preserve">revisión No. 05/2019, clave 800 “Resultados de programas mediante la revisión al DESEMPEÑO”, obteniendo respuesta mediante oficio No. CA/027/2019 fechado el 06 de septiembre de 2019, donde se proporcionó la siguiente información y/o documentación:  </w:t>
            </w:r>
            <w:r w:rsidR="00FB62E6">
              <w:t xml:space="preserve"> </w:t>
            </w:r>
          </w:p>
          <w:p w:rsidR="00277CCC" w:rsidRDefault="00277CCC" w:rsidP="001057FD">
            <w:pPr>
              <w:pStyle w:val="Sinespaciado"/>
              <w:ind w:left="164" w:right="143"/>
              <w:jc w:val="both"/>
            </w:pPr>
          </w:p>
          <w:p w:rsidR="00277CCC" w:rsidRDefault="00277CCC" w:rsidP="00277CCC">
            <w:pPr>
              <w:pStyle w:val="Sinespaciado"/>
              <w:numPr>
                <w:ilvl w:val="0"/>
                <w:numId w:val="28"/>
              </w:numPr>
              <w:ind w:right="143"/>
              <w:jc w:val="both"/>
            </w:pPr>
            <w:r>
              <w:t xml:space="preserve">Copia del Convenio de Administración por Resultados (CAR) celebrado por las Secretarías de Hacienda y </w:t>
            </w:r>
            <w:r w:rsidR="00173493">
              <w:t>Crédito</w:t>
            </w:r>
            <w:r>
              <w:t xml:space="preserve"> </w:t>
            </w:r>
            <w:r w:rsidR="004E6DB6">
              <w:t>Público</w:t>
            </w:r>
            <w:r>
              <w:t xml:space="preserve"> y de la Función P</w:t>
            </w:r>
            <w:r w:rsidR="00173493">
              <w:t>ública, el Consejo Nacional de Ciencia y Tecnología y el Instituto Nacional de Astrofísica, Óptica y Electrónica, firmado el 15 de mayo de 2009.</w:t>
            </w:r>
          </w:p>
          <w:p w:rsidR="00143530" w:rsidRDefault="00143530" w:rsidP="00143530">
            <w:pPr>
              <w:pStyle w:val="Sinespaciado"/>
              <w:ind w:left="524" w:right="143"/>
              <w:jc w:val="both"/>
            </w:pPr>
          </w:p>
          <w:p w:rsidR="00173493" w:rsidRDefault="00173493" w:rsidP="00277CCC">
            <w:pPr>
              <w:pStyle w:val="Sinespaciado"/>
              <w:numPr>
                <w:ilvl w:val="0"/>
                <w:numId w:val="28"/>
              </w:numPr>
              <w:ind w:right="143"/>
              <w:jc w:val="both"/>
            </w:pPr>
            <w:r>
              <w:t xml:space="preserve">Mediante el Acuerdo R-JG-O-24-I-2009 de la Primera Sesión Ordinaria celebrada el 15 de junio de 2009, se aprobaron los términos del Convenio referido. </w:t>
            </w:r>
          </w:p>
          <w:p w:rsidR="00143530" w:rsidRDefault="00143530" w:rsidP="00143530">
            <w:pPr>
              <w:pStyle w:val="Sinespaciado"/>
              <w:ind w:left="524" w:right="143"/>
              <w:jc w:val="both"/>
            </w:pPr>
          </w:p>
          <w:p w:rsidR="00173493" w:rsidRDefault="00173493" w:rsidP="00277CCC">
            <w:pPr>
              <w:pStyle w:val="Sinespaciado"/>
              <w:numPr>
                <w:ilvl w:val="0"/>
                <w:numId w:val="28"/>
              </w:numPr>
              <w:ind w:right="143"/>
              <w:jc w:val="both"/>
            </w:pPr>
            <w:r>
              <w:t xml:space="preserve">Por medio del Acuerdo R-JG-O-7-II-2009, la H. Junta de Gobierno del INAOE aprobó la actualización de los Anexos del Convenio de Administración por Resultados (CAR), los cuales son: </w:t>
            </w:r>
          </w:p>
          <w:p w:rsidR="00173493" w:rsidRDefault="00173493" w:rsidP="00173493">
            <w:pPr>
              <w:pStyle w:val="Sinespaciado"/>
              <w:ind w:left="524" w:right="143"/>
              <w:jc w:val="both"/>
            </w:pPr>
            <w:r>
              <w:t xml:space="preserve">Anexo I Plan Estratégico. </w:t>
            </w:r>
          </w:p>
          <w:p w:rsidR="00173493" w:rsidRDefault="00173493" w:rsidP="00173493">
            <w:pPr>
              <w:pStyle w:val="Sinespaciado"/>
              <w:ind w:left="524" w:right="143"/>
              <w:jc w:val="both"/>
            </w:pPr>
            <w:r>
              <w:t>Anexo II Plan de Trabajo.</w:t>
            </w:r>
          </w:p>
          <w:p w:rsidR="00173493" w:rsidRDefault="00173493" w:rsidP="00173493">
            <w:pPr>
              <w:pStyle w:val="Sinespaciado"/>
              <w:ind w:left="524" w:right="143"/>
              <w:jc w:val="both"/>
            </w:pPr>
            <w:r>
              <w:t>Anexo III Indicadores de Desempeño.</w:t>
            </w:r>
          </w:p>
          <w:p w:rsidR="00173493" w:rsidRDefault="00173493" w:rsidP="00173493">
            <w:pPr>
              <w:pStyle w:val="Sinespaciado"/>
              <w:ind w:left="524" w:right="143"/>
              <w:jc w:val="both"/>
            </w:pPr>
            <w:r>
              <w:t>Anexo IV Programa de Mejora de la Gestión.</w:t>
            </w:r>
          </w:p>
          <w:p w:rsidR="00173493" w:rsidRDefault="00173493" w:rsidP="00173493">
            <w:pPr>
              <w:pStyle w:val="Sinespaciado"/>
              <w:ind w:left="524" w:right="143"/>
              <w:jc w:val="both"/>
            </w:pPr>
            <w:r>
              <w:t>Anexo V Matriz de Indicadores de Programas.</w:t>
            </w:r>
          </w:p>
          <w:p w:rsidR="00143530" w:rsidRDefault="00143530" w:rsidP="00143530">
            <w:pPr>
              <w:pStyle w:val="Sinespaciado"/>
              <w:ind w:left="524" w:right="143"/>
              <w:jc w:val="both"/>
            </w:pPr>
          </w:p>
          <w:p w:rsidR="00173493" w:rsidRDefault="00173493" w:rsidP="00277CCC">
            <w:pPr>
              <w:pStyle w:val="Sinespaciado"/>
              <w:numPr>
                <w:ilvl w:val="0"/>
                <w:numId w:val="28"/>
              </w:numPr>
              <w:ind w:right="143"/>
              <w:jc w:val="both"/>
            </w:pPr>
            <w:r>
              <w:t>El servidor público encargado de ver los asuntos de los indicadores CAR es la C. Edith Palacios Coatl quien mediante oficio DG/146/2017 de 14 de marzo de 201</w:t>
            </w:r>
            <w:r w:rsidR="0073387C">
              <w:t xml:space="preserve">7, </w:t>
            </w:r>
            <w:r>
              <w:t xml:space="preserve">designada como Jefa del Departamento de Asuntos y Servicios Académicos de la Dirección de Investigación (se adjunta copia). </w:t>
            </w:r>
          </w:p>
          <w:p w:rsidR="00143530" w:rsidRDefault="00143530" w:rsidP="00143530">
            <w:pPr>
              <w:pStyle w:val="Sinespaciado"/>
              <w:ind w:left="524" w:right="143"/>
              <w:jc w:val="both"/>
            </w:pPr>
          </w:p>
          <w:p w:rsidR="007179DD" w:rsidRDefault="00173493" w:rsidP="00277CCC">
            <w:pPr>
              <w:pStyle w:val="Sinespaciado"/>
              <w:numPr>
                <w:ilvl w:val="0"/>
                <w:numId w:val="28"/>
              </w:numPr>
              <w:ind w:right="143"/>
              <w:jc w:val="both"/>
            </w:pPr>
            <w:r>
              <w:t>Copia de las evaluaciones del CAR de los ejercicios 2017 y 2018 que emite el Co</w:t>
            </w:r>
            <w:r w:rsidR="007179DD">
              <w:t>nsejo Nacional de Ciencia y Tecnología</w:t>
            </w:r>
            <w:r>
              <w:t xml:space="preserve"> a través de la Dirección Adjunta de Centros de Investigación. Así como el informe de Autoevaluación 2018 presentado ante el Comité Externo de Evaluación, en el cual en su apartado 15. Anexo I Comparativo de indicadores</w:t>
            </w:r>
            <w:r w:rsidR="007179DD">
              <w:t xml:space="preserve"> CAR (2014-2018), se advierten los antecedentes de </w:t>
            </w:r>
            <w:r w:rsidR="0073387C">
              <w:t xml:space="preserve">parcial </w:t>
            </w:r>
            <w:r w:rsidR="007179DD">
              <w:t xml:space="preserve">cumplimiento. </w:t>
            </w:r>
          </w:p>
          <w:p w:rsidR="00173493" w:rsidRDefault="00173493" w:rsidP="007179DD">
            <w:pPr>
              <w:pStyle w:val="Sinespaciado"/>
              <w:ind w:left="524" w:right="143"/>
              <w:jc w:val="both"/>
            </w:pPr>
          </w:p>
          <w:p w:rsidR="007179DD" w:rsidRDefault="007179DD" w:rsidP="007179DD">
            <w:pPr>
              <w:pStyle w:val="Sinespaciado"/>
              <w:ind w:left="164" w:right="143"/>
              <w:jc w:val="both"/>
            </w:pPr>
            <w:r>
              <w:t>Asimismo, mediante oficio No. 11/290/0185/2019</w:t>
            </w:r>
            <w:r w:rsidR="00B83F8D">
              <w:t xml:space="preserve"> fechado </w:t>
            </w:r>
            <w:r>
              <w:t xml:space="preserve">el 09 de septiembre de 2019, se solicitó a la Mtra. </w:t>
            </w:r>
            <w:r w:rsidR="00412E3F">
              <w:t>Jazmín</w:t>
            </w:r>
            <w:r>
              <w:t xml:space="preserve"> Saldaña Bustamante, Coordinadora de Archivos del INAOE, como enlace designado por el entonces Director General del INAOE, para atender los requerimientos de este Órgano Interno de Control, con motivo de la revisión No. 05/2019, clave 800 “Resultados de programas mediante la revisión al </w:t>
            </w:r>
            <w:r>
              <w:lastRenderedPageBreak/>
              <w:t xml:space="preserve">DESEMPEÑO”, obteniendo respuesta mediante oficio No. CA/029/2019 fechado el 11 de septiembre de 2019, donde se proporcionó la siguiente información y/o documentación:    </w:t>
            </w:r>
          </w:p>
          <w:p w:rsidR="007179DD" w:rsidRDefault="007179DD" w:rsidP="007179DD">
            <w:pPr>
              <w:pStyle w:val="Sinespaciado"/>
              <w:ind w:left="164" w:right="143"/>
              <w:jc w:val="both"/>
            </w:pPr>
          </w:p>
          <w:p w:rsidR="007179DD" w:rsidRDefault="007179DD" w:rsidP="007179DD">
            <w:pPr>
              <w:pStyle w:val="Sinespaciado"/>
              <w:numPr>
                <w:ilvl w:val="0"/>
                <w:numId w:val="29"/>
              </w:numPr>
              <w:ind w:right="143"/>
              <w:jc w:val="both"/>
            </w:pPr>
            <w:r>
              <w:t xml:space="preserve">Copia del Acuerdo R-JG-O-24-I-2009 de la Primera Sesión Ordinaria de la H. Junta de Gobierno, celebrada el 15 de junio de 2009, en la que se aprobaron los términos del Convenio de Administración por Resultados. </w:t>
            </w:r>
          </w:p>
          <w:p w:rsidR="00143530" w:rsidRDefault="00143530" w:rsidP="00143530">
            <w:pPr>
              <w:pStyle w:val="Sinespaciado"/>
              <w:ind w:left="688" w:right="143"/>
              <w:jc w:val="both"/>
            </w:pPr>
          </w:p>
          <w:p w:rsidR="00C64CE1" w:rsidRDefault="007179DD" w:rsidP="00C64CE1">
            <w:pPr>
              <w:pStyle w:val="Sinespaciado"/>
              <w:numPr>
                <w:ilvl w:val="0"/>
                <w:numId w:val="29"/>
              </w:numPr>
              <w:ind w:right="143"/>
              <w:jc w:val="both"/>
            </w:pPr>
            <w:r>
              <w:t xml:space="preserve">Copia de los Anexos </w:t>
            </w:r>
            <w:r w:rsidR="00C64CE1">
              <w:t>del Convenio de Administración por Resultados aprobados mediante el acuerdo R-JG-O-24-I-2009</w:t>
            </w:r>
          </w:p>
          <w:p w:rsidR="00C64CE1" w:rsidRDefault="00C64CE1" w:rsidP="00C64CE1">
            <w:pPr>
              <w:pStyle w:val="Sinespaciado"/>
              <w:ind w:left="688" w:right="143"/>
              <w:jc w:val="both"/>
            </w:pPr>
            <w:r>
              <w:t xml:space="preserve">Anexo I Plan Estratégico. </w:t>
            </w:r>
          </w:p>
          <w:p w:rsidR="00C64CE1" w:rsidRDefault="00C64CE1" w:rsidP="00C64CE1">
            <w:pPr>
              <w:pStyle w:val="Sinespaciado"/>
              <w:ind w:left="688" w:right="143"/>
              <w:jc w:val="both"/>
            </w:pPr>
            <w:r>
              <w:t xml:space="preserve">Anexo II Plan de Trabajo.  </w:t>
            </w:r>
          </w:p>
          <w:p w:rsidR="00C64CE1" w:rsidRDefault="00C64CE1" w:rsidP="00C64CE1">
            <w:pPr>
              <w:pStyle w:val="Sinespaciado"/>
              <w:ind w:left="688" w:right="143"/>
              <w:jc w:val="both"/>
            </w:pPr>
            <w:r>
              <w:t xml:space="preserve">Anexo III Indicadores de Desempeño. </w:t>
            </w:r>
          </w:p>
          <w:p w:rsidR="00C64CE1" w:rsidRDefault="00C64CE1" w:rsidP="00C64CE1">
            <w:pPr>
              <w:pStyle w:val="Sinespaciado"/>
              <w:ind w:left="688" w:right="143"/>
              <w:jc w:val="both"/>
            </w:pPr>
            <w:r>
              <w:t>Anexo IV Programa de Mejora de la Gestión.</w:t>
            </w:r>
          </w:p>
          <w:p w:rsidR="00C64CE1" w:rsidRDefault="00CD6AA1" w:rsidP="00C64CE1">
            <w:pPr>
              <w:pStyle w:val="Sinespaciado"/>
              <w:ind w:left="688" w:right="143"/>
              <w:jc w:val="both"/>
            </w:pPr>
            <w:r>
              <w:t>Anexo V Matriz de Indicadores de Programas.</w:t>
            </w:r>
          </w:p>
          <w:p w:rsidR="00143530" w:rsidRDefault="00143530" w:rsidP="00143530">
            <w:pPr>
              <w:pStyle w:val="Sinespaciado"/>
              <w:ind w:left="688" w:right="143"/>
              <w:jc w:val="both"/>
            </w:pPr>
          </w:p>
          <w:p w:rsidR="00CD6AA1" w:rsidRDefault="00CD6AA1" w:rsidP="00C64CE1">
            <w:pPr>
              <w:pStyle w:val="Sinespaciado"/>
              <w:numPr>
                <w:ilvl w:val="0"/>
                <w:numId w:val="29"/>
              </w:numPr>
              <w:ind w:right="143"/>
              <w:jc w:val="both"/>
            </w:pPr>
            <w:r>
              <w:t>Copia de los indicadores aprobados en la Primera Sesión Ordinaria de la H. Junta de Gobierno, mediante el Acuerdo R-JG-O-10-I-2014</w:t>
            </w:r>
          </w:p>
          <w:p w:rsidR="00CD6AA1" w:rsidRDefault="00C64CE1" w:rsidP="00CD6AA1">
            <w:pPr>
              <w:pStyle w:val="Sinespaciado"/>
              <w:ind w:left="688" w:right="143"/>
              <w:jc w:val="both"/>
            </w:pPr>
            <w:r>
              <w:t>Anexo</w:t>
            </w:r>
            <w:r w:rsidR="00CD6AA1">
              <w:t xml:space="preserve"> I Plan Estratégico de Mediano Plazo 2014-2018.</w:t>
            </w:r>
          </w:p>
          <w:p w:rsidR="00CD6AA1" w:rsidRDefault="00CD6AA1" w:rsidP="00CD6AA1">
            <w:pPr>
              <w:pStyle w:val="Sinespaciado"/>
              <w:ind w:left="688" w:right="143"/>
              <w:jc w:val="both"/>
            </w:pPr>
            <w:r>
              <w:t>Anexo II Programa Anual de Trabajo 2014.</w:t>
            </w:r>
          </w:p>
          <w:p w:rsidR="00C64CE1" w:rsidRDefault="00CD6AA1" w:rsidP="00CD6AA1">
            <w:pPr>
              <w:pStyle w:val="Sinespaciado"/>
              <w:ind w:left="688" w:right="143"/>
              <w:jc w:val="both"/>
            </w:pPr>
            <w:r>
              <w:t xml:space="preserve">Anexo III Indicadores de Desempeño 2014-2018 del INAOE. </w:t>
            </w:r>
            <w:r w:rsidR="00C64CE1">
              <w:t xml:space="preserve"> </w:t>
            </w:r>
          </w:p>
          <w:p w:rsidR="00CD6AA1" w:rsidRDefault="00CD6AA1" w:rsidP="00CD6AA1">
            <w:pPr>
              <w:pStyle w:val="Sinespaciado"/>
              <w:ind w:left="688" w:right="143"/>
              <w:jc w:val="both"/>
            </w:pPr>
          </w:p>
          <w:p w:rsidR="00CD6AA1" w:rsidRPr="00FA7051" w:rsidRDefault="00CD6AA1" w:rsidP="00CD6AA1">
            <w:pPr>
              <w:ind w:left="164" w:right="143"/>
              <w:jc w:val="both"/>
              <w:rPr>
                <w:highlight w:val="yellow"/>
              </w:rPr>
            </w:pPr>
            <w:r>
              <w:t>Finalmente, e</w:t>
            </w:r>
            <w:r w:rsidRPr="001E2A7F">
              <w:t xml:space="preserve">s importante </w:t>
            </w:r>
            <w:r w:rsidR="00BE13C8">
              <w:t xml:space="preserve">señalar </w:t>
            </w:r>
            <w:r w:rsidRPr="001E2A7F">
              <w:t>que de</w:t>
            </w:r>
            <w:r>
              <w:t xml:space="preserve">bido a los cambios administrativos en la Dirección General </w:t>
            </w:r>
            <w:r w:rsidRPr="001E2A7F">
              <w:t>del I</w:t>
            </w:r>
            <w:r>
              <w:t>nstituto Nacional de Astrofísica, Óptica y Electrónica (IN</w:t>
            </w:r>
            <w:r w:rsidRPr="001E2A7F">
              <w:t>AOE</w:t>
            </w:r>
            <w:r>
              <w:t>)</w:t>
            </w:r>
            <w:r w:rsidRPr="001E2A7F">
              <w:t xml:space="preserve"> </w:t>
            </w:r>
            <w:r>
              <w:t>se remitió el ofic</w:t>
            </w:r>
            <w:r w:rsidR="00B83F8D">
              <w:t xml:space="preserve">io No. 11/290/0198/2019 </w:t>
            </w:r>
            <w:r>
              <w:t xml:space="preserve">mediante el cual se le informó </w:t>
            </w:r>
            <w:r w:rsidRPr="001E2A7F">
              <w:t>que este Órgano Interno de Control est</w:t>
            </w:r>
            <w:r>
              <w:t>aba</w:t>
            </w:r>
            <w:r w:rsidRPr="001E2A7F">
              <w:t xml:space="preserve"> llevando a cabo en esa Dirección General la revisión No. 05/2019 “Resultado de programas mediante la revisión al desempeño” al Convenio de Administración por Resultados (CAR)</w:t>
            </w:r>
            <w:r>
              <w:t>, donde el e</w:t>
            </w:r>
            <w:r w:rsidR="00B83F8D">
              <w:t>ntonces Director General designó</w:t>
            </w:r>
            <w:r>
              <w:t xml:space="preserve"> a la Mtra. Jazmín Saldaña Bustamante, Coordinadora de Archivos del Instituto como enlace de esta auditoría. </w:t>
            </w:r>
            <w:r w:rsidRPr="001E2A7F">
              <w:t>P</w:t>
            </w:r>
            <w:r w:rsidR="00B83F8D">
              <w:t>or lo que, se le solicitó</w:t>
            </w:r>
            <w:r>
              <w:t xml:space="preserve"> que confirmara la designación de la Mtra. Sa</w:t>
            </w:r>
            <w:r w:rsidR="0073387C">
              <w:t xml:space="preserve">ldaña, o en su caso, </w:t>
            </w:r>
            <w:r w:rsidR="00B83F8D">
              <w:t>nombrara</w:t>
            </w:r>
            <w:r>
              <w:t xml:space="preserve"> a un sustituto que fungiera como enlace. Sin embargo, no se obtuvo respuesta al oficio antes referido, por lo que se procedió a revisar la información y documentación proporcionada en respuesta a los oficios </w:t>
            </w:r>
            <w:r w:rsidR="00455176">
              <w:t>recibidos</w:t>
            </w:r>
            <w:r w:rsidR="0073387C">
              <w:t xml:space="preserve"> dando fin a la auditoría por falta de elemento</w:t>
            </w:r>
            <w:r w:rsidR="00455176">
              <w:t>s</w:t>
            </w:r>
            <w:r w:rsidR="0073387C">
              <w:t xml:space="preserve"> y </w:t>
            </w:r>
            <w:r w:rsidR="00455176">
              <w:t xml:space="preserve">en </w:t>
            </w:r>
            <w:r w:rsidR="0073387C">
              <w:t xml:space="preserve">cumplimiento de los plazos establecidos. Se deja pendiente una auditoría posterior a programarse en el próximo ejercicio. </w:t>
            </w:r>
          </w:p>
          <w:p w:rsidR="002F57C3" w:rsidRDefault="002F57C3" w:rsidP="0082585A">
            <w:pPr>
              <w:pStyle w:val="Sinespaciado"/>
              <w:ind w:right="143"/>
              <w:rPr>
                <w:b/>
              </w:rPr>
            </w:pPr>
          </w:p>
          <w:p w:rsidR="00143530" w:rsidRDefault="00143530" w:rsidP="00143530">
            <w:pPr>
              <w:pStyle w:val="Sinespaciado"/>
              <w:ind w:left="720" w:right="143"/>
              <w:rPr>
                <w:b/>
              </w:rPr>
            </w:pPr>
          </w:p>
          <w:p w:rsidR="0073387C" w:rsidRDefault="0073387C" w:rsidP="0073387C">
            <w:pPr>
              <w:pStyle w:val="Sinespaciado"/>
              <w:ind w:left="720" w:right="143"/>
              <w:rPr>
                <w:b/>
              </w:rPr>
            </w:pPr>
          </w:p>
          <w:p w:rsidR="000B3D19" w:rsidRDefault="000B3D19" w:rsidP="0082585A">
            <w:pPr>
              <w:pStyle w:val="Sinespaciado"/>
              <w:numPr>
                <w:ilvl w:val="0"/>
                <w:numId w:val="15"/>
              </w:numPr>
              <w:ind w:right="143"/>
              <w:rPr>
                <w:b/>
              </w:rPr>
            </w:pPr>
            <w:r w:rsidRPr="00435DB6">
              <w:rPr>
                <w:b/>
              </w:rPr>
              <w:t xml:space="preserve">CONCLUSIONES Y RECOMENDACIONES GENERALES </w:t>
            </w:r>
          </w:p>
          <w:p w:rsidR="00680AC6" w:rsidRDefault="00680AC6" w:rsidP="0082585A">
            <w:pPr>
              <w:pStyle w:val="Sinespaciado"/>
              <w:ind w:left="360" w:right="143"/>
              <w:rPr>
                <w:b/>
              </w:rPr>
            </w:pPr>
          </w:p>
          <w:p w:rsidR="00EA2C2B" w:rsidRDefault="00D1035A" w:rsidP="0082585A">
            <w:pPr>
              <w:pStyle w:val="Sinespaciado"/>
              <w:ind w:left="164" w:right="143"/>
              <w:jc w:val="both"/>
            </w:pPr>
            <w:r>
              <w:t xml:space="preserve">Como resultado de la revisión </w:t>
            </w:r>
            <w:r w:rsidR="00B83F8D">
              <w:t xml:space="preserve">de </w:t>
            </w:r>
            <w:r>
              <w:t xml:space="preserve">la documentación e información proporcionada por el área auditada, </w:t>
            </w:r>
            <w:r w:rsidR="00EA2C2B">
              <w:t>se puede observar que existen</w:t>
            </w:r>
            <w:r w:rsidR="00BE13C8">
              <w:t xml:space="preserve"> diez </w:t>
            </w:r>
            <w:r w:rsidR="00EA2C2B">
              <w:t>indicadores</w:t>
            </w:r>
            <w:r w:rsidR="00BE13C8">
              <w:t xml:space="preserve"> </w:t>
            </w:r>
            <w:r w:rsidR="00EA2C2B">
              <w:t>comprometidos</w:t>
            </w:r>
            <w:r w:rsidR="006B5F90">
              <w:t xml:space="preserve"> y establecidos</w:t>
            </w:r>
            <w:r w:rsidR="00EA2C2B">
              <w:t xml:space="preserve"> en el Convenio de Administración por Resultados (CAR) </w:t>
            </w:r>
            <w:r w:rsidR="00BE13C8">
              <w:t xml:space="preserve">celebrado </w:t>
            </w:r>
            <w:r w:rsidR="006B5F90">
              <w:t xml:space="preserve">el 15 de mayo de 2009, </w:t>
            </w:r>
            <w:r w:rsidR="00B83F8D">
              <w:t xml:space="preserve">con </w:t>
            </w:r>
            <w:r w:rsidR="00BE13C8">
              <w:t xml:space="preserve">la </w:t>
            </w:r>
            <w:r w:rsidR="006B5F90">
              <w:t>Secretaría</w:t>
            </w:r>
            <w:r w:rsidR="00BE13C8">
              <w:t xml:space="preserve"> de Hacienda y Crédito Público (SHCP) y de la Secretaría de la Función Pública (SFP)</w:t>
            </w:r>
            <w:r w:rsidR="006B5F90">
              <w:t>, el Consejo Nacional de Ciencia y Tecnología (CONACYT) y el Centro Público de Investigación</w:t>
            </w:r>
            <w:r w:rsidR="00B83F8D">
              <w:t>,</w:t>
            </w:r>
            <w:r w:rsidR="006B5F90">
              <w:t xml:space="preserve"> el Instituto Nacional de Astrofísica, Óptica y Electrónica (INAOE)</w:t>
            </w:r>
            <w:r w:rsidR="00B83F8D">
              <w:t>,</w:t>
            </w:r>
            <w:r w:rsidR="00102B62">
              <w:t xml:space="preserve"> </w:t>
            </w:r>
            <w:r w:rsidR="00B83F8D">
              <w:t>s</w:t>
            </w:r>
            <w:r w:rsidR="00102B62">
              <w:t>e recomienda analizar nuevamente las metas comprometidas en dicho convenio con el fin de programa</w:t>
            </w:r>
            <w:r w:rsidR="00B83F8D">
              <w:t>r objetivos alcanzables</w:t>
            </w:r>
            <w:r w:rsidR="0073387C">
              <w:t xml:space="preserve"> y realistas </w:t>
            </w:r>
            <w:r w:rsidR="00B83F8D">
              <w:t>alineado</w:t>
            </w:r>
            <w:r w:rsidR="00102B62">
              <w:t xml:space="preserve">s al desempeño Institucional. </w:t>
            </w:r>
          </w:p>
          <w:p w:rsidR="00EA2C2B" w:rsidRDefault="00EA2C2B" w:rsidP="0082585A">
            <w:pPr>
              <w:pStyle w:val="Sinespaciado"/>
              <w:ind w:left="164" w:right="143"/>
              <w:jc w:val="both"/>
            </w:pPr>
          </w:p>
          <w:p w:rsidR="00E25CF3" w:rsidRDefault="00143530" w:rsidP="009C48DD">
            <w:pPr>
              <w:pStyle w:val="Sinespaciado"/>
              <w:ind w:left="164" w:right="143"/>
              <w:jc w:val="both"/>
              <w:rPr>
                <w:b/>
              </w:rPr>
            </w:pPr>
            <w:r>
              <w:t>En el entendido de que la actividad académica de docencia, investigación y</w:t>
            </w:r>
            <w:r w:rsidR="0073387C">
              <w:t xml:space="preserve"> publicación de alta calidad</w:t>
            </w:r>
            <w:r>
              <w:t xml:space="preserve"> caracteriza a este Centro, los resultados dependen de factores humano</w:t>
            </w:r>
            <w:r w:rsidR="009F6E9E">
              <w:t>s</w:t>
            </w:r>
            <w:r>
              <w:t xml:space="preserve"> </w:t>
            </w:r>
            <w:r w:rsidR="0073387C">
              <w:t xml:space="preserve">endógenos atribuibles a profesores investigadores o estudiantes del mismo Instituto, pero también a factores exógenos propios a la actividad del CONACyT, </w:t>
            </w:r>
            <w:r w:rsidR="00E25CF3" w:rsidRPr="00BE13C8">
              <w:t>es necesario que se implementen las medidas que coadyuven a eliminar las</w:t>
            </w:r>
            <w:r>
              <w:t xml:space="preserve"> faltas </w:t>
            </w:r>
            <w:r w:rsidR="00E25CF3" w:rsidRPr="00BE13C8">
              <w:t xml:space="preserve">detectadas, apegándose </w:t>
            </w:r>
            <w:r>
              <w:t xml:space="preserve">a </w:t>
            </w:r>
            <w:r w:rsidR="00E25CF3" w:rsidRPr="00BE13C8">
              <w:t>la normatividad emitida para tal efecto</w:t>
            </w:r>
            <w:r w:rsidR="0073387C">
              <w:t>. F</w:t>
            </w:r>
            <w:r w:rsidR="0073387C" w:rsidRPr="00BE13C8">
              <w:t>in</w:t>
            </w:r>
            <w:r w:rsidR="0073387C">
              <w:t xml:space="preserve">almente, el INAOE es responsable de administrar los recursos públicos a su cargo con </w:t>
            </w:r>
            <w:r w:rsidR="00E25CF3" w:rsidRPr="00BE13C8">
              <w:t xml:space="preserve">economía, eficiencia, eficacia, transparencia y </w:t>
            </w:r>
            <w:r w:rsidR="0073387C">
              <w:t xml:space="preserve">con una cultura de </w:t>
            </w:r>
            <w:r w:rsidR="00E25CF3" w:rsidRPr="00BE13C8">
              <w:t>rendición de cuentas, cumpliendo con la normativid</w:t>
            </w:r>
            <w:r>
              <w:t>ad que se emite</w:t>
            </w:r>
            <w:r w:rsidR="009C48DD" w:rsidRPr="00BE13C8">
              <w:t xml:space="preserve"> para tal efecto.</w:t>
            </w:r>
          </w:p>
          <w:p w:rsidR="009C48DD" w:rsidRPr="009C48DD" w:rsidRDefault="009C48DD" w:rsidP="009C48DD">
            <w:pPr>
              <w:pStyle w:val="Sinespaciado"/>
              <w:ind w:left="164" w:right="143"/>
              <w:jc w:val="both"/>
              <w:rPr>
                <w:b/>
              </w:rPr>
            </w:pPr>
          </w:p>
        </w:tc>
      </w:tr>
    </w:tbl>
    <w:p w:rsidR="0067147A" w:rsidRDefault="0067147A" w:rsidP="005617EB"/>
    <w:sectPr w:rsidR="0067147A" w:rsidSect="00866E44">
      <w:headerReference w:type="default" r:id="rId8"/>
      <w:pgSz w:w="15840" w:h="12240" w:orient="landscape"/>
      <w:pgMar w:top="170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82" w:rsidRDefault="00D00682" w:rsidP="002F3AD1">
      <w:pPr>
        <w:spacing w:after="0" w:line="240" w:lineRule="auto"/>
      </w:pPr>
      <w:r>
        <w:separator/>
      </w:r>
    </w:p>
  </w:endnote>
  <w:endnote w:type="continuationSeparator" w:id="0">
    <w:p w:rsidR="00D00682" w:rsidRDefault="00D00682" w:rsidP="002F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82" w:rsidRDefault="00D00682" w:rsidP="002F3AD1">
      <w:pPr>
        <w:spacing w:after="0" w:line="240" w:lineRule="auto"/>
      </w:pPr>
      <w:r>
        <w:separator/>
      </w:r>
    </w:p>
  </w:footnote>
  <w:footnote w:type="continuationSeparator" w:id="0">
    <w:p w:rsidR="00D00682" w:rsidRDefault="00D00682" w:rsidP="002F3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3397"/>
      <w:gridCol w:w="3544"/>
      <w:gridCol w:w="3260"/>
      <w:gridCol w:w="2795"/>
    </w:tblGrid>
    <w:tr w:rsidR="00D00682" w:rsidTr="009729B9">
      <w:trPr>
        <w:trHeight w:val="1691"/>
      </w:trPr>
      <w:tc>
        <w:tcPr>
          <w:tcW w:w="3397" w:type="dxa"/>
        </w:tcPr>
        <w:p w:rsidR="00D00682" w:rsidRDefault="00D00682">
          <w:pPr>
            <w:pStyle w:val="Encabezado"/>
          </w:pPr>
          <w:r>
            <w:rPr>
              <w:noProof/>
              <w:lang w:eastAsia="es-MX"/>
            </w:rPr>
            <w:drawing>
              <wp:anchor distT="0" distB="0" distL="114300" distR="114300" simplePos="0" relativeHeight="251659264" behindDoc="1" locked="0" layoutInCell="1" allowOverlap="1" wp14:anchorId="0466AA93" wp14:editId="71AA875E">
                <wp:simplePos x="0" y="0"/>
                <wp:positionH relativeFrom="column">
                  <wp:posOffset>209550</wp:posOffset>
                </wp:positionH>
                <wp:positionV relativeFrom="paragraph">
                  <wp:posOffset>1270</wp:posOffset>
                </wp:positionV>
                <wp:extent cx="1600200" cy="1066800"/>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extLst>
                            <a:ext uri="{28A0092B-C50C-407E-A947-70E740481C1C}">
                              <a14:useLocalDpi xmlns:a14="http://schemas.microsoft.com/office/drawing/2010/main" val="0"/>
                            </a:ext>
                          </a:extLst>
                        </a:blip>
                        <a:srcRect l="14839" t="13271" r="13190" b="6837"/>
                        <a:stretch>
                          <a:fillRect/>
                        </a:stretch>
                      </pic:blipFill>
                      <pic:spPr bwMode="auto">
                        <a:xfrm>
                          <a:off x="0" y="0"/>
                          <a:ext cx="16002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gridSpan w:val="2"/>
          <w:vAlign w:val="center"/>
        </w:tcPr>
        <w:p w:rsidR="00D00682" w:rsidRDefault="00D00682" w:rsidP="00FB7423">
          <w:pPr>
            <w:pStyle w:val="Encabezado"/>
            <w:jc w:val="center"/>
            <w:rPr>
              <w:b/>
            </w:rPr>
          </w:pPr>
          <w:r w:rsidRPr="002F3AD1">
            <w:rPr>
              <w:b/>
            </w:rPr>
            <w:t>ÓRGANO INTERNO DE CONTROL EN EL</w:t>
          </w:r>
        </w:p>
        <w:p w:rsidR="00D00682" w:rsidRDefault="00D00682" w:rsidP="00FB7423">
          <w:pPr>
            <w:pStyle w:val="Encabezado"/>
            <w:jc w:val="center"/>
            <w:rPr>
              <w:b/>
            </w:rPr>
          </w:pPr>
          <w:r w:rsidRPr="002F3AD1">
            <w:rPr>
              <w:b/>
            </w:rPr>
            <w:t>INSTITUTO NACIONAL DE ASTROFÍSICA, ÓPTICA Y ELECTRÓNICA</w:t>
          </w:r>
        </w:p>
        <w:p w:rsidR="00D00682" w:rsidRDefault="00D00682" w:rsidP="00FB7423">
          <w:pPr>
            <w:pStyle w:val="Encabezado"/>
            <w:jc w:val="center"/>
          </w:pPr>
          <w:r>
            <w:rPr>
              <w:b/>
            </w:rPr>
            <w:t xml:space="preserve">OFICIO DE ENVÍO DE INFORME DE AUDITORÍA </w:t>
          </w:r>
        </w:p>
      </w:tc>
      <w:tc>
        <w:tcPr>
          <w:tcW w:w="2795" w:type="dxa"/>
          <w:vAlign w:val="center"/>
        </w:tcPr>
        <w:sdt>
          <w:sdtPr>
            <w:id w:val="1527362870"/>
            <w:docPartObj>
              <w:docPartGallery w:val="Page Numbers (Top of Page)"/>
              <w:docPartUnique/>
            </w:docPartObj>
          </w:sdtPr>
          <w:sdtContent>
            <w:p w:rsidR="00D00682" w:rsidRDefault="00D00682" w:rsidP="009729B9">
              <w:pPr>
                <w:pStyle w:val="Encabezado"/>
              </w:pPr>
              <w:r>
                <w:t>Hoja No.</w:t>
              </w:r>
              <w:r>
                <w:rPr>
                  <w:lang w:val="es-ES"/>
                </w:rPr>
                <w:t xml:space="preserve"> </w:t>
              </w:r>
              <w:r>
                <w:rPr>
                  <w:b/>
                  <w:bCs/>
                  <w:sz w:val="24"/>
                  <w:szCs w:val="24"/>
                </w:rPr>
                <w:fldChar w:fldCharType="begin"/>
              </w:r>
              <w:r>
                <w:rPr>
                  <w:b/>
                  <w:bCs/>
                </w:rPr>
                <w:instrText>PAGE</w:instrText>
              </w:r>
              <w:r>
                <w:rPr>
                  <w:b/>
                  <w:bCs/>
                  <w:sz w:val="24"/>
                  <w:szCs w:val="24"/>
                </w:rPr>
                <w:fldChar w:fldCharType="separate"/>
              </w:r>
              <w:r w:rsidR="005435D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35D3">
                <w:rPr>
                  <w:b/>
                  <w:bCs/>
                  <w:noProof/>
                </w:rPr>
                <w:t>17</w:t>
              </w:r>
              <w:r>
                <w:rPr>
                  <w:b/>
                  <w:bCs/>
                  <w:sz w:val="24"/>
                  <w:szCs w:val="24"/>
                </w:rPr>
                <w:fldChar w:fldCharType="end"/>
              </w:r>
            </w:p>
          </w:sdtContent>
        </w:sdt>
        <w:p w:rsidR="00D00682" w:rsidRDefault="00D00682" w:rsidP="009729B9">
          <w:pPr>
            <w:pStyle w:val="Encabezado"/>
          </w:pPr>
          <w:r>
            <w:t xml:space="preserve"> </w:t>
          </w:r>
        </w:p>
        <w:p w:rsidR="00D00682" w:rsidRDefault="00D00682" w:rsidP="00345053">
          <w:pPr>
            <w:pStyle w:val="Encabezado"/>
          </w:pPr>
          <w:r>
            <w:t xml:space="preserve">No. de auditoria: </w:t>
          </w:r>
          <w:r w:rsidRPr="00FB7423">
            <w:rPr>
              <w:b/>
            </w:rPr>
            <w:t>0</w:t>
          </w:r>
          <w:r>
            <w:rPr>
              <w:b/>
            </w:rPr>
            <w:t>5</w:t>
          </w:r>
          <w:r w:rsidRPr="00FB7423">
            <w:rPr>
              <w:b/>
            </w:rPr>
            <w:t>/2019</w:t>
          </w:r>
        </w:p>
      </w:tc>
    </w:tr>
    <w:tr w:rsidR="00D00682" w:rsidTr="00C8551F">
      <w:trPr>
        <w:trHeight w:val="485"/>
      </w:trPr>
      <w:tc>
        <w:tcPr>
          <w:tcW w:w="6941" w:type="dxa"/>
          <w:gridSpan w:val="2"/>
          <w:vAlign w:val="center"/>
        </w:tcPr>
        <w:p w:rsidR="00D00682" w:rsidRDefault="00D00682" w:rsidP="00FB7423">
          <w:pPr>
            <w:pStyle w:val="Encabezado"/>
          </w:pPr>
          <w:r>
            <w:t xml:space="preserve">Ente: </w:t>
          </w:r>
          <w:r w:rsidRPr="002F3AD1">
            <w:rPr>
              <w:b/>
            </w:rPr>
            <w:t>Instituto Nacional de Astrofísica, Óptica y Electrónica</w:t>
          </w:r>
          <w:r>
            <w:t xml:space="preserve"> </w:t>
          </w:r>
        </w:p>
      </w:tc>
      <w:tc>
        <w:tcPr>
          <w:tcW w:w="3260" w:type="dxa"/>
          <w:vAlign w:val="center"/>
        </w:tcPr>
        <w:p w:rsidR="00D00682" w:rsidRDefault="00D00682" w:rsidP="00FB7423">
          <w:pPr>
            <w:pStyle w:val="Encabezado"/>
          </w:pPr>
          <w:r>
            <w:t xml:space="preserve">Sector: </w:t>
          </w:r>
          <w:r w:rsidRPr="002F3AD1">
            <w:rPr>
              <w:b/>
            </w:rPr>
            <w:t>Ciencia y Tecnología</w:t>
          </w:r>
        </w:p>
      </w:tc>
      <w:tc>
        <w:tcPr>
          <w:tcW w:w="2795" w:type="dxa"/>
          <w:vAlign w:val="center"/>
        </w:tcPr>
        <w:p w:rsidR="00D00682" w:rsidRDefault="00D00682" w:rsidP="00FB7423">
          <w:pPr>
            <w:pStyle w:val="Encabezado"/>
          </w:pPr>
          <w:r>
            <w:t xml:space="preserve">Clave: </w:t>
          </w:r>
          <w:r w:rsidRPr="00FB7423">
            <w:rPr>
              <w:b/>
            </w:rPr>
            <w:t>11290</w:t>
          </w:r>
        </w:p>
      </w:tc>
    </w:tr>
    <w:tr w:rsidR="00D00682" w:rsidTr="00C8551F">
      <w:trPr>
        <w:trHeight w:val="549"/>
      </w:trPr>
      <w:tc>
        <w:tcPr>
          <w:tcW w:w="6941" w:type="dxa"/>
          <w:gridSpan w:val="2"/>
          <w:vAlign w:val="center"/>
        </w:tcPr>
        <w:p w:rsidR="00D00682" w:rsidRDefault="00D00682" w:rsidP="00345053">
          <w:pPr>
            <w:pStyle w:val="Encabezado"/>
          </w:pPr>
          <w:r>
            <w:t xml:space="preserve">Unidad auditada: </w:t>
          </w:r>
          <w:r w:rsidRPr="00FB7423">
            <w:rPr>
              <w:b/>
            </w:rPr>
            <w:t>Dirección</w:t>
          </w:r>
          <w:r>
            <w:rPr>
              <w:b/>
            </w:rPr>
            <w:t xml:space="preserve"> General del </w:t>
          </w:r>
          <w:r w:rsidRPr="00FB7423">
            <w:rPr>
              <w:b/>
            </w:rPr>
            <w:t>INAOE</w:t>
          </w:r>
        </w:p>
      </w:tc>
      <w:tc>
        <w:tcPr>
          <w:tcW w:w="6055" w:type="dxa"/>
          <w:gridSpan w:val="2"/>
        </w:tcPr>
        <w:p w:rsidR="00D00682" w:rsidRDefault="00D00682" w:rsidP="00FB7423">
          <w:pPr>
            <w:pStyle w:val="Encabezado"/>
          </w:pPr>
          <w:r>
            <w:t>Clave de programa: 800</w:t>
          </w:r>
        </w:p>
        <w:p w:rsidR="00D00682" w:rsidRDefault="00D00682" w:rsidP="000E3E22">
          <w:pPr>
            <w:pStyle w:val="Encabezado"/>
          </w:pPr>
          <w:r>
            <w:t>“AUDITORÍA AL DESEMPEÑO”</w:t>
          </w:r>
        </w:p>
      </w:tc>
    </w:tr>
  </w:tbl>
  <w:p w:rsidR="00D00682" w:rsidRDefault="00D006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F25"/>
    <w:multiLevelType w:val="hybridMultilevel"/>
    <w:tmpl w:val="E842D4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EF34F8"/>
    <w:multiLevelType w:val="hybridMultilevel"/>
    <w:tmpl w:val="A63E05EA"/>
    <w:lvl w:ilvl="0" w:tplc="28F212FE">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4B2DC8"/>
    <w:multiLevelType w:val="hybridMultilevel"/>
    <w:tmpl w:val="67AA3DB2"/>
    <w:lvl w:ilvl="0" w:tplc="367ECDE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16559"/>
    <w:multiLevelType w:val="hybridMultilevel"/>
    <w:tmpl w:val="D4122F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F4D0D2B"/>
    <w:multiLevelType w:val="hybridMultilevel"/>
    <w:tmpl w:val="D1042A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F714D4"/>
    <w:multiLevelType w:val="hybridMultilevel"/>
    <w:tmpl w:val="7BA846E2"/>
    <w:lvl w:ilvl="0" w:tplc="F9A26A68">
      <w:start w:val="1"/>
      <w:numFmt w:val="lowerLetter"/>
      <w:lvlText w:val="%1)"/>
      <w:lvlJc w:val="left"/>
      <w:pPr>
        <w:ind w:left="524" w:hanging="360"/>
      </w:pPr>
      <w:rPr>
        <w:rFonts w:hint="default"/>
      </w:rPr>
    </w:lvl>
    <w:lvl w:ilvl="1" w:tplc="080A0019" w:tentative="1">
      <w:start w:val="1"/>
      <w:numFmt w:val="lowerLetter"/>
      <w:lvlText w:val="%2."/>
      <w:lvlJc w:val="left"/>
      <w:pPr>
        <w:ind w:left="1244" w:hanging="360"/>
      </w:pPr>
    </w:lvl>
    <w:lvl w:ilvl="2" w:tplc="080A001B" w:tentative="1">
      <w:start w:val="1"/>
      <w:numFmt w:val="lowerRoman"/>
      <w:lvlText w:val="%3."/>
      <w:lvlJc w:val="right"/>
      <w:pPr>
        <w:ind w:left="1964" w:hanging="180"/>
      </w:pPr>
    </w:lvl>
    <w:lvl w:ilvl="3" w:tplc="080A000F" w:tentative="1">
      <w:start w:val="1"/>
      <w:numFmt w:val="decimal"/>
      <w:lvlText w:val="%4."/>
      <w:lvlJc w:val="left"/>
      <w:pPr>
        <w:ind w:left="2684" w:hanging="360"/>
      </w:pPr>
    </w:lvl>
    <w:lvl w:ilvl="4" w:tplc="080A0019" w:tentative="1">
      <w:start w:val="1"/>
      <w:numFmt w:val="lowerLetter"/>
      <w:lvlText w:val="%5."/>
      <w:lvlJc w:val="left"/>
      <w:pPr>
        <w:ind w:left="3404" w:hanging="360"/>
      </w:pPr>
    </w:lvl>
    <w:lvl w:ilvl="5" w:tplc="080A001B" w:tentative="1">
      <w:start w:val="1"/>
      <w:numFmt w:val="lowerRoman"/>
      <w:lvlText w:val="%6."/>
      <w:lvlJc w:val="right"/>
      <w:pPr>
        <w:ind w:left="4124" w:hanging="180"/>
      </w:pPr>
    </w:lvl>
    <w:lvl w:ilvl="6" w:tplc="080A000F" w:tentative="1">
      <w:start w:val="1"/>
      <w:numFmt w:val="decimal"/>
      <w:lvlText w:val="%7."/>
      <w:lvlJc w:val="left"/>
      <w:pPr>
        <w:ind w:left="4844" w:hanging="360"/>
      </w:pPr>
    </w:lvl>
    <w:lvl w:ilvl="7" w:tplc="080A0019" w:tentative="1">
      <w:start w:val="1"/>
      <w:numFmt w:val="lowerLetter"/>
      <w:lvlText w:val="%8."/>
      <w:lvlJc w:val="left"/>
      <w:pPr>
        <w:ind w:left="5564" w:hanging="360"/>
      </w:pPr>
    </w:lvl>
    <w:lvl w:ilvl="8" w:tplc="080A001B" w:tentative="1">
      <w:start w:val="1"/>
      <w:numFmt w:val="lowerRoman"/>
      <w:lvlText w:val="%9."/>
      <w:lvlJc w:val="right"/>
      <w:pPr>
        <w:ind w:left="6284" w:hanging="180"/>
      </w:pPr>
    </w:lvl>
  </w:abstractNum>
  <w:abstractNum w:abstractNumId="6" w15:restartNumberingAfterBreak="0">
    <w:nsid w:val="2E2035FE"/>
    <w:multiLevelType w:val="hybridMultilevel"/>
    <w:tmpl w:val="19C4CE88"/>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ED1852"/>
    <w:multiLevelType w:val="hybridMultilevel"/>
    <w:tmpl w:val="1F264B5E"/>
    <w:lvl w:ilvl="0" w:tplc="A844BC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30EB1"/>
    <w:multiLevelType w:val="hybridMultilevel"/>
    <w:tmpl w:val="DDC2E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FE2580"/>
    <w:multiLevelType w:val="hybridMultilevel"/>
    <w:tmpl w:val="45EE5118"/>
    <w:lvl w:ilvl="0" w:tplc="546C035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F948C4"/>
    <w:multiLevelType w:val="hybridMultilevel"/>
    <w:tmpl w:val="AB6615AC"/>
    <w:lvl w:ilvl="0" w:tplc="764E2A8C">
      <w:start w:val="1"/>
      <w:numFmt w:val="decimal"/>
      <w:lvlText w:val="%1."/>
      <w:lvlJc w:val="left"/>
      <w:pPr>
        <w:ind w:left="688" w:hanging="360"/>
      </w:pPr>
      <w:rPr>
        <w:rFonts w:hint="default"/>
      </w:rPr>
    </w:lvl>
    <w:lvl w:ilvl="1" w:tplc="080A0019" w:tentative="1">
      <w:start w:val="1"/>
      <w:numFmt w:val="lowerLetter"/>
      <w:lvlText w:val="%2."/>
      <w:lvlJc w:val="left"/>
      <w:pPr>
        <w:ind w:left="1604" w:hanging="360"/>
      </w:pPr>
    </w:lvl>
    <w:lvl w:ilvl="2" w:tplc="080A001B" w:tentative="1">
      <w:start w:val="1"/>
      <w:numFmt w:val="lowerRoman"/>
      <w:lvlText w:val="%3."/>
      <w:lvlJc w:val="right"/>
      <w:pPr>
        <w:ind w:left="2324" w:hanging="180"/>
      </w:pPr>
    </w:lvl>
    <w:lvl w:ilvl="3" w:tplc="080A000F" w:tentative="1">
      <w:start w:val="1"/>
      <w:numFmt w:val="decimal"/>
      <w:lvlText w:val="%4."/>
      <w:lvlJc w:val="left"/>
      <w:pPr>
        <w:ind w:left="3044" w:hanging="360"/>
      </w:pPr>
    </w:lvl>
    <w:lvl w:ilvl="4" w:tplc="080A0019" w:tentative="1">
      <w:start w:val="1"/>
      <w:numFmt w:val="lowerLetter"/>
      <w:lvlText w:val="%5."/>
      <w:lvlJc w:val="left"/>
      <w:pPr>
        <w:ind w:left="3764" w:hanging="360"/>
      </w:pPr>
    </w:lvl>
    <w:lvl w:ilvl="5" w:tplc="080A001B" w:tentative="1">
      <w:start w:val="1"/>
      <w:numFmt w:val="lowerRoman"/>
      <w:lvlText w:val="%6."/>
      <w:lvlJc w:val="right"/>
      <w:pPr>
        <w:ind w:left="4484" w:hanging="180"/>
      </w:pPr>
    </w:lvl>
    <w:lvl w:ilvl="6" w:tplc="080A000F" w:tentative="1">
      <w:start w:val="1"/>
      <w:numFmt w:val="decimal"/>
      <w:lvlText w:val="%7."/>
      <w:lvlJc w:val="left"/>
      <w:pPr>
        <w:ind w:left="5204" w:hanging="360"/>
      </w:pPr>
    </w:lvl>
    <w:lvl w:ilvl="7" w:tplc="080A0019" w:tentative="1">
      <w:start w:val="1"/>
      <w:numFmt w:val="lowerLetter"/>
      <w:lvlText w:val="%8."/>
      <w:lvlJc w:val="left"/>
      <w:pPr>
        <w:ind w:left="5924" w:hanging="360"/>
      </w:pPr>
    </w:lvl>
    <w:lvl w:ilvl="8" w:tplc="080A001B" w:tentative="1">
      <w:start w:val="1"/>
      <w:numFmt w:val="lowerRoman"/>
      <w:lvlText w:val="%9."/>
      <w:lvlJc w:val="right"/>
      <w:pPr>
        <w:ind w:left="6644" w:hanging="180"/>
      </w:pPr>
    </w:lvl>
  </w:abstractNum>
  <w:abstractNum w:abstractNumId="11" w15:restartNumberingAfterBreak="0">
    <w:nsid w:val="43C363DF"/>
    <w:multiLevelType w:val="hybridMultilevel"/>
    <w:tmpl w:val="49106D1E"/>
    <w:lvl w:ilvl="0" w:tplc="28F212F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2C6A73"/>
    <w:multiLevelType w:val="hybridMultilevel"/>
    <w:tmpl w:val="0518BF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B037478"/>
    <w:multiLevelType w:val="hybridMultilevel"/>
    <w:tmpl w:val="02DC29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FA5D86"/>
    <w:multiLevelType w:val="hybridMultilevel"/>
    <w:tmpl w:val="9C9CAEC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632C7A"/>
    <w:multiLevelType w:val="hybridMultilevel"/>
    <w:tmpl w:val="B3066E9C"/>
    <w:lvl w:ilvl="0" w:tplc="ED22CC40">
      <w:start w:val="1"/>
      <w:numFmt w:val="upperRoman"/>
      <w:lvlText w:val="%1."/>
      <w:lvlJc w:val="left"/>
      <w:pPr>
        <w:ind w:left="1080" w:hanging="720"/>
      </w:pPr>
      <w:rPr>
        <w:rFonts w:hint="default"/>
        <w:b/>
      </w:rPr>
    </w:lvl>
    <w:lvl w:ilvl="1" w:tplc="C24EB5B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701BE7"/>
    <w:multiLevelType w:val="hybridMultilevel"/>
    <w:tmpl w:val="958A77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A31C82"/>
    <w:multiLevelType w:val="hybridMultilevel"/>
    <w:tmpl w:val="9FCAA2E6"/>
    <w:lvl w:ilvl="0" w:tplc="EAE84C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477B64"/>
    <w:multiLevelType w:val="hybridMultilevel"/>
    <w:tmpl w:val="058038C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722572A"/>
    <w:multiLevelType w:val="hybridMultilevel"/>
    <w:tmpl w:val="16DE9E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6E3B45"/>
    <w:multiLevelType w:val="hybridMultilevel"/>
    <w:tmpl w:val="6902F8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C053A4C"/>
    <w:multiLevelType w:val="hybridMultilevel"/>
    <w:tmpl w:val="839ED8CE"/>
    <w:lvl w:ilvl="0" w:tplc="764E2A8C">
      <w:start w:val="1"/>
      <w:numFmt w:val="decimal"/>
      <w:lvlText w:val="%1."/>
      <w:lvlJc w:val="left"/>
      <w:pPr>
        <w:ind w:left="524" w:hanging="360"/>
      </w:pPr>
      <w:rPr>
        <w:rFonts w:hint="default"/>
      </w:rPr>
    </w:lvl>
    <w:lvl w:ilvl="1" w:tplc="080A0019" w:tentative="1">
      <w:start w:val="1"/>
      <w:numFmt w:val="lowerLetter"/>
      <w:lvlText w:val="%2."/>
      <w:lvlJc w:val="left"/>
      <w:pPr>
        <w:ind w:left="1244" w:hanging="360"/>
      </w:pPr>
    </w:lvl>
    <w:lvl w:ilvl="2" w:tplc="080A001B" w:tentative="1">
      <w:start w:val="1"/>
      <w:numFmt w:val="lowerRoman"/>
      <w:lvlText w:val="%3."/>
      <w:lvlJc w:val="right"/>
      <w:pPr>
        <w:ind w:left="1964" w:hanging="180"/>
      </w:pPr>
    </w:lvl>
    <w:lvl w:ilvl="3" w:tplc="080A000F" w:tentative="1">
      <w:start w:val="1"/>
      <w:numFmt w:val="decimal"/>
      <w:lvlText w:val="%4."/>
      <w:lvlJc w:val="left"/>
      <w:pPr>
        <w:ind w:left="2684" w:hanging="360"/>
      </w:pPr>
    </w:lvl>
    <w:lvl w:ilvl="4" w:tplc="080A0019" w:tentative="1">
      <w:start w:val="1"/>
      <w:numFmt w:val="lowerLetter"/>
      <w:lvlText w:val="%5."/>
      <w:lvlJc w:val="left"/>
      <w:pPr>
        <w:ind w:left="3404" w:hanging="360"/>
      </w:pPr>
    </w:lvl>
    <w:lvl w:ilvl="5" w:tplc="080A001B" w:tentative="1">
      <w:start w:val="1"/>
      <w:numFmt w:val="lowerRoman"/>
      <w:lvlText w:val="%6."/>
      <w:lvlJc w:val="right"/>
      <w:pPr>
        <w:ind w:left="4124" w:hanging="180"/>
      </w:pPr>
    </w:lvl>
    <w:lvl w:ilvl="6" w:tplc="080A000F" w:tentative="1">
      <w:start w:val="1"/>
      <w:numFmt w:val="decimal"/>
      <w:lvlText w:val="%7."/>
      <w:lvlJc w:val="left"/>
      <w:pPr>
        <w:ind w:left="4844" w:hanging="360"/>
      </w:pPr>
    </w:lvl>
    <w:lvl w:ilvl="7" w:tplc="080A0019" w:tentative="1">
      <w:start w:val="1"/>
      <w:numFmt w:val="lowerLetter"/>
      <w:lvlText w:val="%8."/>
      <w:lvlJc w:val="left"/>
      <w:pPr>
        <w:ind w:left="5564" w:hanging="360"/>
      </w:pPr>
    </w:lvl>
    <w:lvl w:ilvl="8" w:tplc="080A001B" w:tentative="1">
      <w:start w:val="1"/>
      <w:numFmt w:val="lowerRoman"/>
      <w:lvlText w:val="%9."/>
      <w:lvlJc w:val="right"/>
      <w:pPr>
        <w:ind w:left="6284" w:hanging="180"/>
      </w:pPr>
    </w:lvl>
  </w:abstractNum>
  <w:abstractNum w:abstractNumId="22" w15:restartNumberingAfterBreak="0">
    <w:nsid w:val="6E6854B1"/>
    <w:multiLevelType w:val="hybridMultilevel"/>
    <w:tmpl w:val="C164B98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D839A7"/>
    <w:multiLevelType w:val="hybridMultilevel"/>
    <w:tmpl w:val="09BA70A4"/>
    <w:lvl w:ilvl="0" w:tplc="28F212FE">
      <w:start w:val="1"/>
      <w:numFmt w:val="bullet"/>
      <w:lvlText w:val=""/>
      <w:lvlJc w:val="left"/>
      <w:pPr>
        <w:ind w:left="1876" w:hanging="360"/>
      </w:pPr>
      <w:rPr>
        <w:rFonts w:ascii="Symbol" w:hAnsi="Symbol" w:hint="default"/>
      </w:rPr>
    </w:lvl>
    <w:lvl w:ilvl="1" w:tplc="080A0003" w:tentative="1">
      <w:start w:val="1"/>
      <w:numFmt w:val="bullet"/>
      <w:lvlText w:val="o"/>
      <w:lvlJc w:val="left"/>
      <w:pPr>
        <w:ind w:left="2596" w:hanging="360"/>
      </w:pPr>
      <w:rPr>
        <w:rFonts w:ascii="Courier New" w:hAnsi="Courier New" w:cs="Courier New" w:hint="default"/>
      </w:rPr>
    </w:lvl>
    <w:lvl w:ilvl="2" w:tplc="080A0005" w:tentative="1">
      <w:start w:val="1"/>
      <w:numFmt w:val="bullet"/>
      <w:lvlText w:val=""/>
      <w:lvlJc w:val="left"/>
      <w:pPr>
        <w:ind w:left="3316" w:hanging="360"/>
      </w:pPr>
      <w:rPr>
        <w:rFonts w:ascii="Wingdings" w:hAnsi="Wingdings" w:hint="default"/>
      </w:rPr>
    </w:lvl>
    <w:lvl w:ilvl="3" w:tplc="080A0001" w:tentative="1">
      <w:start w:val="1"/>
      <w:numFmt w:val="bullet"/>
      <w:lvlText w:val=""/>
      <w:lvlJc w:val="left"/>
      <w:pPr>
        <w:ind w:left="4036" w:hanging="360"/>
      </w:pPr>
      <w:rPr>
        <w:rFonts w:ascii="Symbol" w:hAnsi="Symbol" w:hint="default"/>
      </w:rPr>
    </w:lvl>
    <w:lvl w:ilvl="4" w:tplc="080A0003" w:tentative="1">
      <w:start w:val="1"/>
      <w:numFmt w:val="bullet"/>
      <w:lvlText w:val="o"/>
      <w:lvlJc w:val="left"/>
      <w:pPr>
        <w:ind w:left="4756" w:hanging="360"/>
      </w:pPr>
      <w:rPr>
        <w:rFonts w:ascii="Courier New" w:hAnsi="Courier New" w:cs="Courier New" w:hint="default"/>
      </w:rPr>
    </w:lvl>
    <w:lvl w:ilvl="5" w:tplc="080A0005" w:tentative="1">
      <w:start w:val="1"/>
      <w:numFmt w:val="bullet"/>
      <w:lvlText w:val=""/>
      <w:lvlJc w:val="left"/>
      <w:pPr>
        <w:ind w:left="5476" w:hanging="360"/>
      </w:pPr>
      <w:rPr>
        <w:rFonts w:ascii="Wingdings" w:hAnsi="Wingdings" w:hint="default"/>
      </w:rPr>
    </w:lvl>
    <w:lvl w:ilvl="6" w:tplc="080A0001" w:tentative="1">
      <w:start w:val="1"/>
      <w:numFmt w:val="bullet"/>
      <w:lvlText w:val=""/>
      <w:lvlJc w:val="left"/>
      <w:pPr>
        <w:ind w:left="6196" w:hanging="360"/>
      </w:pPr>
      <w:rPr>
        <w:rFonts w:ascii="Symbol" w:hAnsi="Symbol" w:hint="default"/>
      </w:rPr>
    </w:lvl>
    <w:lvl w:ilvl="7" w:tplc="080A0003" w:tentative="1">
      <w:start w:val="1"/>
      <w:numFmt w:val="bullet"/>
      <w:lvlText w:val="o"/>
      <w:lvlJc w:val="left"/>
      <w:pPr>
        <w:ind w:left="6916" w:hanging="360"/>
      </w:pPr>
      <w:rPr>
        <w:rFonts w:ascii="Courier New" w:hAnsi="Courier New" w:cs="Courier New" w:hint="default"/>
      </w:rPr>
    </w:lvl>
    <w:lvl w:ilvl="8" w:tplc="080A0005" w:tentative="1">
      <w:start w:val="1"/>
      <w:numFmt w:val="bullet"/>
      <w:lvlText w:val=""/>
      <w:lvlJc w:val="left"/>
      <w:pPr>
        <w:ind w:left="7636" w:hanging="360"/>
      </w:pPr>
      <w:rPr>
        <w:rFonts w:ascii="Wingdings" w:hAnsi="Wingdings" w:hint="default"/>
      </w:rPr>
    </w:lvl>
  </w:abstractNum>
  <w:abstractNum w:abstractNumId="24" w15:restartNumberingAfterBreak="0">
    <w:nsid w:val="7A184965"/>
    <w:multiLevelType w:val="hybridMultilevel"/>
    <w:tmpl w:val="E24651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9E34AB"/>
    <w:multiLevelType w:val="hybridMultilevel"/>
    <w:tmpl w:val="0DB4388C"/>
    <w:lvl w:ilvl="0" w:tplc="BEE4C6D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B67EA1"/>
    <w:multiLevelType w:val="hybridMultilevel"/>
    <w:tmpl w:val="540EF3BE"/>
    <w:lvl w:ilvl="0" w:tplc="28F212FE">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27" w15:restartNumberingAfterBreak="0">
    <w:nsid w:val="7F7B7451"/>
    <w:multiLevelType w:val="hybridMultilevel"/>
    <w:tmpl w:val="0CC0887A"/>
    <w:lvl w:ilvl="0" w:tplc="28F212FE">
      <w:start w:val="1"/>
      <w:numFmt w:val="bullet"/>
      <w:lvlText w:val=""/>
      <w:lvlJc w:val="left"/>
      <w:pPr>
        <w:ind w:left="720" w:hanging="360"/>
      </w:pPr>
      <w:rPr>
        <w:rFonts w:ascii="Symbol" w:hAnsi="Symbol" w:hint="default"/>
      </w:rPr>
    </w:lvl>
    <w:lvl w:ilvl="1" w:tplc="28F212FE">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E263A9"/>
    <w:multiLevelType w:val="hybridMultilevel"/>
    <w:tmpl w:val="A3822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7"/>
  </w:num>
  <w:num w:numId="3">
    <w:abstractNumId w:val="23"/>
  </w:num>
  <w:num w:numId="4">
    <w:abstractNumId w:val="26"/>
  </w:num>
  <w:num w:numId="5">
    <w:abstractNumId w:val="11"/>
  </w:num>
  <w:num w:numId="6">
    <w:abstractNumId w:val="27"/>
  </w:num>
  <w:num w:numId="7">
    <w:abstractNumId w:val="1"/>
  </w:num>
  <w:num w:numId="8">
    <w:abstractNumId w:val="18"/>
  </w:num>
  <w:num w:numId="9">
    <w:abstractNumId w:val="17"/>
  </w:num>
  <w:num w:numId="10">
    <w:abstractNumId w:val="28"/>
  </w:num>
  <w:num w:numId="11">
    <w:abstractNumId w:val="13"/>
  </w:num>
  <w:num w:numId="12">
    <w:abstractNumId w:val="14"/>
  </w:num>
  <w:num w:numId="13">
    <w:abstractNumId w:val="24"/>
  </w:num>
  <w:num w:numId="14">
    <w:abstractNumId w:val="16"/>
  </w:num>
  <w:num w:numId="15">
    <w:abstractNumId w:val="22"/>
  </w:num>
  <w:num w:numId="16">
    <w:abstractNumId w:val="0"/>
  </w:num>
  <w:num w:numId="17">
    <w:abstractNumId w:val="19"/>
  </w:num>
  <w:num w:numId="18">
    <w:abstractNumId w:val="8"/>
  </w:num>
  <w:num w:numId="19">
    <w:abstractNumId w:val="6"/>
  </w:num>
  <w:num w:numId="20">
    <w:abstractNumId w:val="4"/>
  </w:num>
  <w:num w:numId="21">
    <w:abstractNumId w:val="12"/>
  </w:num>
  <w:num w:numId="22">
    <w:abstractNumId w:val="20"/>
  </w:num>
  <w:num w:numId="23">
    <w:abstractNumId w:val="3"/>
  </w:num>
  <w:num w:numId="24">
    <w:abstractNumId w:val="9"/>
  </w:num>
  <w:num w:numId="25">
    <w:abstractNumId w:val="2"/>
  </w:num>
  <w:num w:numId="26">
    <w:abstractNumId w:val="25"/>
  </w:num>
  <w:num w:numId="27">
    <w:abstractNumId w:val="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D1"/>
    <w:rsid w:val="000138A5"/>
    <w:rsid w:val="0003472F"/>
    <w:rsid w:val="00035372"/>
    <w:rsid w:val="00051BBD"/>
    <w:rsid w:val="00064FDA"/>
    <w:rsid w:val="00071C1D"/>
    <w:rsid w:val="00091B1F"/>
    <w:rsid w:val="000B3D19"/>
    <w:rsid w:val="000E3E22"/>
    <w:rsid w:val="001022CD"/>
    <w:rsid w:val="00102B62"/>
    <w:rsid w:val="001057FD"/>
    <w:rsid w:val="00112B49"/>
    <w:rsid w:val="00114CB4"/>
    <w:rsid w:val="00131C3D"/>
    <w:rsid w:val="00143530"/>
    <w:rsid w:val="00164F0D"/>
    <w:rsid w:val="00173493"/>
    <w:rsid w:val="001A0448"/>
    <w:rsid w:val="001A63DD"/>
    <w:rsid w:val="001C6206"/>
    <w:rsid w:val="001E1877"/>
    <w:rsid w:val="001E2A7F"/>
    <w:rsid w:val="001F6DB1"/>
    <w:rsid w:val="0020340A"/>
    <w:rsid w:val="00221DB7"/>
    <w:rsid w:val="0026706D"/>
    <w:rsid w:val="002740D5"/>
    <w:rsid w:val="00277CCC"/>
    <w:rsid w:val="00286D1A"/>
    <w:rsid w:val="0029463C"/>
    <w:rsid w:val="002F3AD1"/>
    <w:rsid w:val="002F4F95"/>
    <w:rsid w:val="002F57C3"/>
    <w:rsid w:val="00326AD2"/>
    <w:rsid w:val="00340DE3"/>
    <w:rsid w:val="00345053"/>
    <w:rsid w:val="00351CB1"/>
    <w:rsid w:val="003828FF"/>
    <w:rsid w:val="00394166"/>
    <w:rsid w:val="00397C77"/>
    <w:rsid w:val="00412E3F"/>
    <w:rsid w:val="004207D0"/>
    <w:rsid w:val="0043571B"/>
    <w:rsid w:val="00435DB6"/>
    <w:rsid w:val="00455176"/>
    <w:rsid w:val="00482E26"/>
    <w:rsid w:val="00490044"/>
    <w:rsid w:val="00490ABA"/>
    <w:rsid w:val="0049410F"/>
    <w:rsid w:val="004B2D6C"/>
    <w:rsid w:val="004E6DB6"/>
    <w:rsid w:val="004F25B8"/>
    <w:rsid w:val="0051482E"/>
    <w:rsid w:val="005435D3"/>
    <w:rsid w:val="005617EB"/>
    <w:rsid w:val="005A6232"/>
    <w:rsid w:val="005B516B"/>
    <w:rsid w:val="005D1CBA"/>
    <w:rsid w:val="005E599B"/>
    <w:rsid w:val="005F6C54"/>
    <w:rsid w:val="0060340E"/>
    <w:rsid w:val="006104FE"/>
    <w:rsid w:val="0065344F"/>
    <w:rsid w:val="00657585"/>
    <w:rsid w:val="006615FB"/>
    <w:rsid w:val="0067147A"/>
    <w:rsid w:val="00680AC6"/>
    <w:rsid w:val="00686864"/>
    <w:rsid w:val="006B5F90"/>
    <w:rsid w:val="006C0A4F"/>
    <w:rsid w:val="006E661B"/>
    <w:rsid w:val="007179DD"/>
    <w:rsid w:val="007203DE"/>
    <w:rsid w:val="00733221"/>
    <w:rsid w:val="0073387C"/>
    <w:rsid w:val="00746B12"/>
    <w:rsid w:val="007718B1"/>
    <w:rsid w:val="00794E49"/>
    <w:rsid w:val="00795D21"/>
    <w:rsid w:val="007A2181"/>
    <w:rsid w:val="007A3DAC"/>
    <w:rsid w:val="007A4B75"/>
    <w:rsid w:val="007B7597"/>
    <w:rsid w:val="007D5578"/>
    <w:rsid w:val="007D624D"/>
    <w:rsid w:val="007F0CB8"/>
    <w:rsid w:val="00814134"/>
    <w:rsid w:val="0082585A"/>
    <w:rsid w:val="00834FD0"/>
    <w:rsid w:val="00866E44"/>
    <w:rsid w:val="0087244E"/>
    <w:rsid w:val="008809BC"/>
    <w:rsid w:val="00880EAA"/>
    <w:rsid w:val="00897AAF"/>
    <w:rsid w:val="008A45AB"/>
    <w:rsid w:val="008A4B99"/>
    <w:rsid w:val="008B728C"/>
    <w:rsid w:val="008C7E83"/>
    <w:rsid w:val="008E3697"/>
    <w:rsid w:val="008F2A42"/>
    <w:rsid w:val="00934AD6"/>
    <w:rsid w:val="00935CB9"/>
    <w:rsid w:val="00937F13"/>
    <w:rsid w:val="00945E1F"/>
    <w:rsid w:val="00970135"/>
    <w:rsid w:val="00972203"/>
    <w:rsid w:val="009729B9"/>
    <w:rsid w:val="00980C9B"/>
    <w:rsid w:val="009C48DD"/>
    <w:rsid w:val="009D3DF8"/>
    <w:rsid w:val="009E785B"/>
    <w:rsid w:val="009F2BE6"/>
    <w:rsid w:val="009F6E9E"/>
    <w:rsid w:val="00A210DB"/>
    <w:rsid w:val="00A3717F"/>
    <w:rsid w:val="00A41074"/>
    <w:rsid w:val="00A469FE"/>
    <w:rsid w:val="00A64FCF"/>
    <w:rsid w:val="00A67863"/>
    <w:rsid w:val="00A7437D"/>
    <w:rsid w:val="00A91924"/>
    <w:rsid w:val="00AA2951"/>
    <w:rsid w:val="00AC12CA"/>
    <w:rsid w:val="00AE1862"/>
    <w:rsid w:val="00AE452F"/>
    <w:rsid w:val="00AF3750"/>
    <w:rsid w:val="00B164CB"/>
    <w:rsid w:val="00B61FD4"/>
    <w:rsid w:val="00B74C77"/>
    <w:rsid w:val="00B83F8D"/>
    <w:rsid w:val="00BB2E3A"/>
    <w:rsid w:val="00BB727C"/>
    <w:rsid w:val="00BD4678"/>
    <w:rsid w:val="00BE13C8"/>
    <w:rsid w:val="00C06357"/>
    <w:rsid w:val="00C24545"/>
    <w:rsid w:val="00C477D8"/>
    <w:rsid w:val="00C6291E"/>
    <w:rsid w:val="00C64CE1"/>
    <w:rsid w:val="00C8551F"/>
    <w:rsid w:val="00C85CB2"/>
    <w:rsid w:val="00C9547D"/>
    <w:rsid w:val="00CA480E"/>
    <w:rsid w:val="00CA6B4B"/>
    <w:rsid w:val="00CA6CC7"/>
    <w:rsid w:val="00CB4372"/>
    <w:rsid w:val="00CD28E0"/>
    <w:rsid w:val="00CD6AA1"/>
    <w:rsid w:val="00D00682"/>
    <w:rsid w:val="00D069DE"/>
    <w:rsid w:val="00D1035A"/>
    <w:rsid w:val="00D462BA"/>
    <w:rsid w:val="00D84A2C"/>
    <w:rsid w:val="00D85FCB"/>
    <w:rsid w:val="00D92273"/>
    <w:rsid w:val="00DC5BEC"/>
    <w:rsid w:val="00E034B5"/>
    <w:rsid w:val="00E11EB1"/>
    <w:rsid w:val="00E15B85"/>
    <w:rsid w:val="00E25CF3"/>
    <w:rsid w:val="00E324B3"/>
    <w:rsid w:val="00E47604"/>
    <w:rsid w:val="00E62BCE"/>
    <w:rsid w:val="00E6538D"/>
    <w:rsid w:val="00E72540"/>
    <w:rsid w:val="00EA2C2B"/>
    <w:rsid w:val="00F13A2C"/>
    <w:rsid w:val="00F21E3F"/>
    <w:rsid w:val="00F3592F"/>
    <w:rsid w:val="00F6338D"/>
    <w:rsid w:val="00F860F2"/>
    <w:rsid w:val="00FA7051"/>
    <w:rsid w:val="00FB4BC5"/>
    <w:rsid w:val="00FB62E6"/>
    <w:rsid w:val="00FB7423"/>
    <w:rsid w:val="00FD7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B7D5"/>
  <w15:chartTrackingRefBased/>
  <w15:docId w15:val="{1E02C7F5-3B7C-4D43-8F4E-AE4D28DC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A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AD1"/>
  </w:style>
  <w:style w:type="paragraph" w:styleId="Piedepgina">
    <w:name w:val="footer"/>
    <w:basedOn w:val="Normal"/>
    <w:link w:val="PiedepginaCar"/>
    <w:uiPriority w:val="99"/>
    <w:unhideWhenUsed/>
    <w:rsid w:val="002F3A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AD1"/>
  </w:style>
  <w:style w:type="table" w:styleId="Tablaconcuadrcula">
    <w:name w:val="Table Grid"/>
    <w:basedOn w:val="Tablanormal"/>
    <w:uiPriority w:val="39"/>
    <w:rsid w:val="002F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6E661B"/>
    <w:pPr>
      <w:ind w:left="720"/>
      <w:contextualSpacing/>
    </w:pPr>
  </w:style>
  <w:style w:type="paragraph" w:styleId="Sinespaciado">
    <w:name w:val="No Spacing"/>
    <w:uiPriority w:val="1"/>
    <w:qFormat/>
    <w:rsid w:val="000B3D19"/>
    <w:pPr>
      <w:spacing w:after="0" w:line="240" w:lineRule="auto"/>
    </w:pPr>
  </w:style>
  <w:style w:type="paragraph" w:customStyle="1" w:styleId="Default">
    <w:name w:val="Default"/>
    <w:rsid w:val="007203D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828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8FF"/>
    <w:rPr>
      <w:rFonts w:ascii="Segoe UI" w:hAnsi="Segoe UI" w:cs="Segoe UI"/>
      <w:sz w:val="18"/>
      <w:szCs w:val="18"/>
    </w:rPr>
  </w:style>
  <w:style w:type="paragraph" w:styleId="NormalWeb">
    <w:name w:val="Normal (Web)"/>
    <w:basedOn w:val="Normal"/>
    <w:uiPriority w:val="99"/>
    <w:rsid w:val="001E2A7F"/>
    <w:pPr>
      <w:spacing w:after="0" w:line="240" w:lineRule="auto"/>
      <w:jc w:val="both"/>
    </w:pPr>
    <w:rPr>
      <w:rFonts w:ascii="Times New Roman" w:eastAsia="Batang" w:hAnsi="Times New Roman" w:cs="Times New Roman"/>
      <w:kern w:val="18"/>
      <w:sz w:val="24"/>
      <w:szCs w:val="24"/>
      <w:lang w:val="es-ES"/>
    </w:rPr>
  </w:style>
  <w:style w:type="paragraph" w:styleId="Textoindependiente">
    <w:name w:val="Body Text"/>
    <w:basedOn w:val="Normal"/>
    <w:link w:val="TextoindependienteCar"/>
    <w:rsid w:val="006104FE"/>
    <w:pPr>
      <w:spacing w:after="240" w:line="240" w:lineRule="atLeast"/>
      <w:ind w:firstLine="360"/>
      <w:jc w:val="both"/>
    </w:pPr>
    <w:rPr>
      <w:rFonts w:ascii="Garamond" w:eastAsia="Batang" w:hAnsi="Garamond" w:cs="Times New Roman"/>
      <w:kern w:val="18"/>
      <w:sz w:val="20"/>
      <w:szCs w:val="20"/>
      <w:lang w:val="es-ES"/>
    </w:rPr>
  </w:style>
  <w:style w:type="character" w:customStyle="1" w:styleId="TextoindependienteCar">
    <w:name w:val="Texto independiente Car"/>
    <w:basedOn w:val="Fuentedeprrafopredeter"/>
    <w:link w:val="Textoindependiente"/>
    <w:rsid w:val="006104FE"/>
    <w:rPr>
      <w:rFonts w:ascii="Garamond" w:eastAsia="Batang" w:hAnsi="Garamond" w:cs="Times New Roman"/>
      <w:kern w:val="18"/>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3168">
      <w:bodyDiv w:val="1"/>
      <w:marLeft w:val="0"/>
      <w:marRight w:val="0"/>
      <w:marTop w:val="0"/>
      <w:marBottom w:val="0"/>
      <w:divBdr>
        <w:top w:val="none" w:sz="0" w:space="0" w:color="auto"/>
        <w:left w:val="none" w:sz="0" w:space="0" w:color="auto"/>
        <w:bottom w:val="none" w:sz="0" w:space="0" w:color="auto"/>
        <w:right w:val="none" w:sz="0" w:space="0" w:color="auto"/>
      </w:divBdr>
    </w:div>
    <w:div w:id="21198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E671C-BB3F-4D37-A094-DE360B3D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4818</Words>
  <Characters>26505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Deliass...</dc:creator>
  <cp:keywords/>
  <dc:description/>
  <cp:lastModifiedBy>Deliass...</cp:lastModifiedBy>
  <cp:revision>10</cp:revision>
  <cp:lastPrinted>2019-11-28T17:05:00Z</cp:lastPrinted>
  <dcterms:created xsi:type="dcterms:W3CDTF">2019-11-26T18:20:00Z</dcterms:created>
  <dcterms:modified xsi:type="dcterms:W3CDTF">2019-11-28T17:16:00Z</dcterms:modified>
</cp:coreProperties>
</file>